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0" w:type="dxa"/>
        <w:tblLayout w:type="fixed"/>
        <w:tblCellMar>
          <w:left w:w="0" w:type="dxa"/>
        </w:tblCellMar>
        <w:tblLook w:val="04A0" w:firstRow="1" w:lastRow="0" w:firstColumn="1" w:lastColumn="0" w:noHBand="0" w:noVBand="1"/>
      </w:tblPr>
      <w:tblGrid>
        <w:gridCol w:w="5667"/>
        <w:gridCol w:w="4533"/>
      </w:tblGrid>
      <w:tr w:rsidR="008C7EF4" w:rsidRPr="00AD4105" w14:paraId="1F34A4F2" w14:textId="77777777" w:rsidTr="006E2E7D">
        <w:trPr>
          <w:trHeight w:hRule="exact" w:val="1711"/>
        </w:trPr>
        <w:tc>
          <w:tcPr>
            <w:tcW w:w="5667" w:type="dxa"/>
          </w:tcPr>
          <w:p w14:paraId="7DC7BC39" w14:textId="39D140D8" w:rsidR="00DF085E" w:rsidRPr="00AD4105" w:rsidRDefault="00DF085E" w:rsidP="00CB5D3E">
            <w:pPr>
              <w:rPr>
                <w:rFonts w:ascii="Tahoma" w:hAnsi="Tahoma" w:cs="Tahoma"/>
                <w:sz w:val="22"/>
                <w:szCs w:val="22"/>
              </w:rPr>
            </w:pPr>
          </w:p>
        </w:tc>
        <w:tc>
          <w:tcPr>
            <w:tcW w:w="4533" w:type="dxa"/>
          </w:tcPr>
          <w:p w14:paraId="728CD0D6" w14:textId="77777777" w:rsidR="008C7EF4" w:rsidRPr="00AD4105" w:rsidRDefault="008C7EF4" w:rsidP="008C7EF4">
            <w:pPr>
              <w:tabs>
                <w:tab w:val="left" w:pos="851"/>
              </w:tabs>
              <w:jc w:val="both"/>
              <w:rPr>
                <w:rFonts w:ascii="Tahoma" w:hAnsi="Tahoma" w:cs="Tahoma"/>
                <w:b/>
                <w:sz w:val="22"/>
                <w:szCs w:val="22"/>
              </w:rPr>
            </w:pPr>
          </w:p>
        </w:tc>
      </w:tr>
      <w:tr w:rsidR="00354779" w:rsidRPr="008C7EF4" w14:paraId="63AAAEB9" w14:textId="77777777" w:rsidTr="00354779">
        <w:trPr>
          <w:trHeight w:hRule="exact" w:val="2324"/>
        </w:trPr>
        <w:tc>
          <w:tcPr>
            <w:tcW w:w="5667" w:type="dxa"/>
          </w:tcPr>
          <w:p w14:paraId="09EEB0D6" w14:textId="77777777" w:rsidR="00354779" w:rsidRPr="00AD4105" w:rsidRDefault="00354779">
            <w:pPr>
              <w:rPr>
                <w:rFonts w:ascii="Tahoma" w:hAnsi="Tahoma" w:cs="Tahoma"/>
                <w:sz w:val="22"/>
                <w:szCs w:val="22"/>
              </w:rPr>
            </w:pPr>
          </w:p>
        </w:tc>
        <w:tc>
          <w:tcPr>
            <w:tcW w:w="4533" w:type="dxa"/>
          </w:tcPr>
          <w:p w14:paraId="2502B2E6" w14:textId="77777777" w:rsidR="00354779" w:rsidRPr="008C7EF4" w:rsidRDefault="00354779">
            <w:pPr>
              <w:tabs>
                <w:tab w:val="left" w:pos="851"/>
              </w:tabs>
              <w:rPr>
                <w:rFonts w:ascii="Tahoma" w:hAnsi="Tahoma" w:cs="Tahoma"/>
                <w:b/>
                <w:sz w:val="22"/>
                <w:szCs w:val="22"/>
              </w:rPr>
            </w:pPr>
            <w:r w:rsidRPr="008C7EF4">
              <w:rPr>
                <w:rFonts w:ascii="Tahoma" w:hAnsi="Tahoma" w:cs="Tahoma"/>
                <w:b/>
                <w:sz w:val="22"/>
                <w:szCs w:val="22"/>
              </w:rPr>
              <w:t>Ombudsstelle SRG.D</w:t>
            </w:r>
          </w:p>
          <w:p w14:paraId="7395DB06" w14:textId="77777777" w:rsidR="00354779" w:rsidRPr="008C7EF4" w:rsidRDefault="00354779">
            <w:pPr>
              <w:tabs>
                <w:tab w:val="left" w:pos="851"/>
              </w:tabs>
              <w:rPr>
                <w:rFonts w:ascii="Tahoma" w:hAnsi="Tahoma" w:cs="Tahoma"/>
                <w:sz w:val="22"/>
                <w:szCs w:val="22"/>
              </w:rPr>
            </w:pPr>
            <w:r w:rsidRPr="008C7EF4">
              <w:rPr>
                <w:rFonts w:ascii="Tahoma" w:hAnsi="Tahoma" w:cs="Tahoma"/>
                <w:sz w:val="22"/>
                <w:szCs w:val="22"/>
              </w:rPr>
              <w:t>Dr. Esther Girsberger, Co-Leitung</w:t>
            </w:r>
          </w:p>
          <w:p w14:paraId="57005B3B" w14:textId="5B3ABA04" w:rsidR="00354779" w:rsidRPr="008C7EF4" w:rsidRDefault="00ED454F">
            <w:pPr>
              <w:tabs>
                <w:tab w:val="left" w:pos="851"/>
              </w:tabs>
              <w:rPr>
                <w:rFonts w:ascii="Tahoma" w:hAnsi="Tahoma" w:cs="Tahoma"/>
                <w:sz w:val="22"/>
                <w:szCs w:val="22"/>
              </w:rPr>
            </w:pPr>
            <w:r>
              <w:rPr>
                <w:rFonts w:ascii="Tahoma" w:hAnsi="Tahoma" w:cs="Tahoma"/>
                <w:sz w:val="22"/>
                <w:szCs w:val="22"/>
              </w:rPr>
              <w:t>Dr. Urs Hofmann</w:t>
            </w:r>
            <w:r w:rsidR="00354779" w:rsidRPr="008C7EF4">
              <w:rPr>
                <w:rFonts w:ascii="Tahoma" w:hAnsi="Tahoma" w:cs="Tahoma"/>
                <w:sz w:val="22"/>
                <w:szCs w:val="22"/>
              </w:rPr>
              <w:t>, Co-Leitung</w:t>
            </w:r>
          </w:p>
          <w:p w14:paraId="43B8CF8F" w14:textId="77777777" w:rsidR="00354779" w:rsidRPr="008C7EF4" w:rsidRDefault="00354779">
            <w:pPr>
              <w:tabs>
                <w:tab w:val="left" w:pos="851"/>
              </w:tabs>
              <w:rPr>
                <w:rFonts w:ascii="Tahoma" w:hAnsi="Tahoma" w:cs="Tahoma"/>
                <w:sz w:val="22"/>
                <w:szCs w:val="22"/>
              </w:rPr>
            </w:pPr>
            <w:r w:rsidRPr="008C7EF4">
              <w:rPr>
                <w:rFonts w:ascii="Tahoma" w:hAnsi="Tahoma" w:cs="Tahoma"/>
                <w:sz w:val="22"/>
                <w:szCs w:val="22"/>
              </w:rPr>
              <w:t>c/o SRG Deutschschweiz</w:t>
            </w:r>
          </w:p>
          <w:p w14:paraId="23FF74B9" w14:textId="77777777" w:rsidR="00354779" w:rsidRPr="008C7EF4" w:rsidRDefault="00354779">
            <w:pPr>
              <w:tabs>
                <w:tab w:val="left" w:pos="851"/>
              </w:tabs>
              <w:rPr>
                <w:rFonts w:ascii="Tahoma" w:hAnsi="Tahoma" w:cs="Tahoma"/>
                <w:sz w:val="22"/>
                <w:szCs w:val="22"/>
              </w:rPr>
            </w:pPr>
            <w:r w:rsidRPr="008C7EF4">
              <w:rPr>
                <w:rFonts w:ascii="Tahoma" w:hAnsi="Tahoma" w:cs="Tahoma"/>
                <w:sz w:val="22"/>
                <w:szCs w:val="22"/>
              </w:rPr>
              <w:t>Fernsehstrasse 1-4</w:t>
            </w:r>
          </w:p>
          <w:p w14:paraId="1A2D9388" w14:textId="77777777" w:rsidR="00354779" w:rsidRPr="008C7EF4" w:rsidRDefault="00354779">
            <w:pPr>
              <w:tabs>
                <w:tab w:val="left" w:pos="851"/>
              </w:tabs>
              <w:spacing w:after="120"/>
              <w:rPr>
                <w:rFonts w:ascii="Tahoma" w:hAnsi="Tahoma" w:cs="Tahoma"/>
                <w:sz w:val="22"/>
                <w:szCs w:val="22"/>
              </w:rPr>
            </w:pPr>
            <w:r w:rsidRPr="008C7EF4">
              <w:rPr>
                <w:rFonts w:ascii="Tahoma" w:hAnsi="Tahoma" w:cs="Tahoma"/>
                <w:sz w:val="22"/>
                <w:szCs w:val="22"/>
              </w:rPr>
              <w:t>8052 Zürich</w:t>
            </w:r>
          </w:p>
          <w:p w14:paraId="61819654" w14:textId="77777777" w:rsidR="00354779" w:rsidRPr="008C7EF4" w:rsidRDefault="00354779">
            <w:pPr>
              <w:tabs>
                <w:tab w:val="left" w:pos="851"/>
              </w:tabs>
              <w:rPr>
                <w:rStyle w:val="Hyperlink"/>
                <w:rFonts w:ascii="Tahoma" w:hAnsi="Tahoma" w:cs="Tahoma"/>
                <w:sz w:val="22"/>
                <w:szCs w:val="22"/>
              </w:rPr>
            </w:pPr>
            <w:r w:rsidRPr="008C7EF4">
              <w:rPr>
                <w:rFonts w:ascii="Tahoma" w:hAnsi="Tahoma" w:cs="Tahoma"/>
                <w:sz w:val="22"/>
                <w:szCs w:val="22"/>
              </w:rPr>
              <w:t xml:space="preserve">E-Mail: </w:t>
            </w:r>
            <w:hyperlink r:id="rId10" w:history="1">
              <w:r w:rsidRPr="008C7EF4">
                <w:rPr>
                  <w:rStyle w:val="Hyperlink"/>
                  <w:rFonts w:ascii="Tahoma" w:hAnsi="Tahoma" w:cs="Tahoma"/>
                  <w:sz w:val="22"/>
                  <w:szCs w:val="22"/>
                </w:rPr>
                <w:t>leitung@ombudsstellesrgd.ch</w:t>
              </w:r>
            </w:hyperlink>
          </w:p>
          <w:p w14:paraId="4371111F" w14:textId="77777777" w:rsidR="00354779" w:rsidRPr="008C7EF4" w:rsidRDefault="00354779">
            <w:pPr>
              <w:tabs>
                <w:tab w:val="left" w:pos="851"/>
              </w:tabs>
              <w:rPr>
                <w:rFonts w:ascii="Tahoma" w:hAnsi="Tahoma" w:cs="Tahoma"/>
                <w:sz w:val="22"/>
                <w:szCs w:val="22"/>
              </w:rPr>
            </w:pPr>
          </w:p>
        </w:tc>
      </w:tr>
    </w:tbl>
    <w:p w14:paraId="25FDCE98" w14:textId="77777777" w:rsidR="00354779" w:rsidRPr="008C7EF4" w:rsidRDefault="00354779" w:rsidP="00354779">
      <w:pPr>
        <w:tabs>
          <w:tab w:val="left" w:pos="5670"/>
        </w:tabs>
        <w:ind w:right="-2"/>
        <w:rPr>
          <w:rFonts w:ascii="Tahoma" w:hAnsi="Tahoma" w:cs="Tahoma"/>
          <w:sz w:val="22"/>
          <w:szCs w:val="22"/>
        </w:rPr>
      </w:pPr>
    </w:p>
    <w:p w14:paraId="14EB5977" w14:textId="6C6CA962" w:rsidR="00354779" w:rsidRPr="008C7EF4" w:rsidRDefault="00354779" w:rsidP="00354779">
      <w:pPr>
        <w:tabs>
          <w:tab w:val="left" w:pos="5670"/>
        </w:tabs>
        <w:ind w:right="-2"/>
        <w:rPr>
          <w:rFonts w:ascii="Tahoma" w:hAnsi="Tahoma" w:cs="Tahoma"/>
          <w:sz w:val="22"/>
          <w:szCs w:val="22"/>
        </w:rPr>
      </w:pPr>
      <w:r w:rsidRPr="008C7EF4">
        <w:rPr>
          <w:rFonts w:ascii="Tahoma" w:hAnsi="Tahoma" w:cs="Tahoma"/>
          <w:sz w:val="22"/>
          <w:szCs w:val="22"/>
        </w:rPr>
        <w:tab/>
        <w:t xml:space="preserve">Zürich, </w:t>
      </w:r>
      <w:r w:rsidR="00B30312">
        <w:rPr>
          <w:rFonts w:ascii="Tahoma" w:hAnsi="Tahoma" w:cs="Tahoma"/>
          <w:sz w:val="22"/>
          <w:szCs w:val="22"/>
        </w:rPr>
        <w:t>25. August 2025</w:t>
      </w:r>
    </w:p>
    <w:p w14:paraId="23D3DF35" w14:textId="77777777" w:rsidR="00354779" w:rsidRDefault="00354779" w:rsidP="00354779">
      <w:pPr>
        <w:ind w:right="-2"/>
        <w:rPr>
          <w:rFonts w:ascii="Tahoma" w:hAnsi="Tahoma" w:cs="Tahoma"/>
          <w:sz w:val="22"/>
          <w:szCs w:val="22"/>
        </w:rPr>
      </w:pPr>
    </w:p>
    <w:p w14:paraId="47378ADF" w14:textId="77777777" w:rsidR="00DB71DF" w:rsidRPr="008C7EF4" w:rsidRDefault="00DB71DF" w:rsidP="00354779">
      <w:pPr>
        <w:ind w:right="-2"/>
        <w:rPr>
          <w:rFonts w:ascii="Tahoma" w:hAnsi="Tahoma" w:cs="Tahoma"/>
          <w:sz w:val="22"/>
          <w:szCs w:val="22"/>
        </w:rPr>
      </w:pPr>
    </w:p>
    <w:p w14:paraId="1226B7D8" w14:textId="77777777" w:rsidR="00354779" w:rsidRDefault="00354779" w:rsidP="00354779">
      <w:pPr>
        <w:ind w:right="-2"/>
        <w:rPr>
          <w:rFonts w:ascii="Tahoma" w:hAnsi="Tahoma" w:cs="Tahoma"/>
          <w:sz w:val="22"/>
          <w:szCs w:val="22"/>
        </w:rPr>
      </w:pPr>
    </w:p>
    <w:p w14:paraId="2DFE3AFD" w14:textId="5E7CCD4D" w:rsidR="00DB71DF" w:rsidRPr="00ED18F9" w:rsidRDefault="00DB71DF" w:rsidP="5C991799">
      <w:pPr>
        <w:spacing w:line="240" w:lineRule="auto"/>
        <w:rPr>
          <w:rFonts w:ascii="Tahoma" w:hAnsi="Tahoma" w:cs="Tahoma"/>
          <w:b/>
          <w:bCs/>
          <w:sz w:val="24"/>
          <w:szCs w:val="24"/>
        </w:rPr>
      </w:pPr>
      <w:r w:rsidRPr="5C991799">
        <w:rPr>
          <w:rFonts w:ascii="Tahoma" w:hAnsi="Tahoma" w:cs="Tahoma"/>
          <w:b/>
          <w:bCs/>
          <w:sz w:val="24"/>
          <w:szCs w:val="24"/>
        </w:rPr>
        <w:t>Dossier Nr</w:t>
      </w:r>
      <w:r w:rsidR="009B7BCD" w:rsidRPr="5C991799">
        <w:rPr>
          <w:rFonts w:ascii="Tahoma" w:hAnsi="Tahoma" w:cs="Tahoma"/>
          <w:b/>
          <w:bCs/>
          <w:sz w:val="24"/>
          <w:szCs w:val="24"/>
        </w:rPr>
        <w:t>.</w:t>
      </w:r>
      <w:r w:rsidRPr="5C991799">
        <w:rPr>
          <w:rFonts w:ascii="Tahoma" w:hAnsi="Tahoma" w:cs="Tahoma"/>
          <w:b/>
          <w:bCs/>
          <w:sz w:val="24"/>
          <w:szCs w:val="24"/>
        </w:rPr>
        <w:t xml:space="preserve"> </w:t>
      </w:r>
      <w:r w:rsidR="00395C4A">
        <w:rPr>
          <w:rFonts w:ascii="Tahoma" w:hAnsi="Tahoma" w:cs="Tahoma"/>
          <w:b/>
          <w:bCs/>
          <w:sz w:val="24"/>
          <w:szCs w:val="24"/>
        </w:rPr>
        <w:t>11</w:t>
      </w:r>
      <w:r w:rsidR="004A75B0">
        <w:rPr>
          <w:rFonts w:ascii="Tahoma" w:hAnsi="Tahoma" w:cs="Tahoma"/>
          <w:b/>
          <w:bCs/>
          <w:sz w:val="24"/>
          <w:szCs w:val="24"/>
        </w:rPr>
        <w:t>6</w:t>
      </w:r>
      <w:r w:rsidR="00AD4105">
        <w:rPr>
          <w:rFonts w:ascii="Tahoma" w:hAnsi="Tahoma" w:cs="Tahoma"/>
          <w:b/>
          <w:bCs/>
          <w:sz w:val="24"/>
          <w:szCs w:val="24"/>
        </w:rPr>
        <w:t>3</w:t>
      </w:r>
      <w:r w:rsidR="008907E4">
        <w:rPr>
          <w:rFonts w:ascii="Tahoma" w:hAnsi="Tahoma" w:cs="Tahoma"/>
          <w:b/>
          <w:bCs/>
          <w:sz w:val="24"/>
          <w:szCs w:val="24"/>
        </w:rPr>
        <w:t>7</w:t>
      </w:r>
      <w:r w:rsidR="00575696">
        <w:rPr>
          <w:rFonts w:ascii="Tahoma" w:hAnsi="Tahoma" w:cs="Tahoma"/>
          <w:b/>
          <w:bCs/>
          <w:sz w:val="24"/>
          <w:szCs w:val="24"/>
        </w:rPr>
        <w:t xml:space="preserve">; </w:t>
      </w:r>
      <w:r w:rsidR="00CB5D3E">
        <w:rPr>
          <w:rFonts w:ascii="Tahoma" w:hAnsi="Tahoma" w:cs="Tahoma"/>
          <w:b/>
          <w:bCs/>
          <w:sz w:val="24"/>
          <w:szCs w:val="24"/>
        </w:rPr>
        <w:t xml:space="preserve">11638; </w:t>
      </w:r>
      <w:r w:rsidR="00575696">
        <w:rPr>
          <w:rFonts w:ascii="Tahoma" w:hAnsi="Tahoma" w:cs="Tahoma"/>
          <w:b/>
          <w:bCs/>
          <w:sz w:val="24"/>
          <w:szCs w:val="24"/>
        </w:rPr>
        <w:t>11651</w:t>
      </w:r>
      <w:r w:rsidR="005D5DD3">
        <w:rPr>
          <w:rFonts w:ascii="Tahoma" w:hAnsi="Tahoma" w:cs="Tahoma"/>
          <w:b/>
          <w:bCs/>
          <w:sz w:val="24"/>
          <w:szCs w:val="24"/>
        </w:rPr>
        <w:t>; 11655</w:t>
      </w:r>
      <w:r w:rsidRPr="5C991799">
        <w:rPr>
          <w:rFonts w:ascii="Tahoma" w:hAnsi="Tahoma" w:cs="Tahoma"/>
          <w:b/>
          <w:bCs/>
          <w:sz w:val="24"/>
          <w:szCs w:val="24"/>
        </w:rPr>
        <w:t>,</w:t>
      </w:r>
      <w:bookmarkStart w:id="0" w:name="_Hlk87518606"/>
      <w:r w:rsidR="006F040C" w:rsidRPr="5C991799">
        <w:rPr>
          <w:rFonts w:ascii="Tahoma" w:hAnsi="Tahoma" w:cs="Tahoma"/>
          <w:b/>
          <w:bCs/>
          <w:sz w:val="24"/>
          <w:szCs w:val="24"/>
        </w:rPr>
        <w:t xml:space="preserve"> </w:t>
      </w:r>
      <w:bookmarkEnd w:id="0"/>
      <w:r w:rsidR="00884F7E">
        <w:rPr>
          <w:rFonts w:ascii="Tahoma" w:hAnsi="Tahoma" w:cs="Tahoma"/>
          <w:b/>
          <w:bCs/>
          <w:sz w:val="24"/>
          <w:szCs w:val="24"/>
        </w:rPr>
        <w:t>«</w:t>
      </w:r>
      <w:r w:rsidR="008907E4">
        <w:rPr>
          <w:rFonts w:ascii="Tahoma" w:hAnsi="Tahoma" w:cs="Tahoma"/>
          <w:b/>
          <w:bCs/>
          <w:sz w:val="24"/>
          <w:szCs w:val="24"/>
        </w:rPr>
        <w:t>10vor10</w:t>
      </w:r>
      <w:r w:rsidR="00884F7E">
        <w:rPr>
          <w:rFonts w:ascii="Tahoma" w:hAnsi="Tahoma" w:cs="Tahoma"/>
          <w:b/>
          <w:bCs/>
          <w:sz w:val="24"/>
          <w:szCs w:val="24"/>
        </w:rPr>
        <w:t>» vom</w:t>
      </w:r>
      <w:r w:rsidR="00EC46C2" w:rsidRPr="5C991799">
        <w:rPr>
          <w:rFonts w:ascii="Tahoma" w:hAnsi="Tahoma" w:cs="Tahoma"/>
          <w:b/>
          <w:bCs/>
          <w:sz w:val="24"/>
          <w:szCs w:val="24"/>
        </w:rPr>
        <w:t xml:space="preserve"> </w:t>
      </w:r>
      <w:r w:rsidR="00AD4105">
        <w:rPr>
          <w:rFonts w:ascii="Tahoma" w:hAnsi="Tahoma" w:cs="Tahoma"/>
          <w:b/>
          <w:bCs/>
          <w:sz w:val="24"/>
          <w:szCs w:val="24"/>
        </w:rPr>
        <w:t>2</w:t>
      </w:r>
      <w:r w:rsidR="008907E4">
        <w:rPr>
          <w:rFonts w:ascii="Tahoma" w:hAnsi="Tahoma" w:cs="Tahoma"/>
          <w:b/>
          <w:bCs/>
          <w:sz w:val="24"/>
          <w:szCs w:val="24"/>
        </w:rPr>
        <w:t>5</w:t>
      </w:r>
      <w:r w:rsidR="00C22ED5">
        <w:rPr>
          <w:rFonts w:ascii="Tahoma" w:hAnsi="Tahoma" w:cs="Tahoma"/>
          <w:b/>
          <w:bCs/>
          <w:sz w:val="24"/>
          <w:szCs w:val="24"/>
        </w:rPr>
        <w:t>. Juli</w:t>
      </w:r>
      <w:r w:rsidR="00F819B6">
        <w:rPr>
          <w:rFonts w:ascii="Tahoma" w:hAnsi="Tahoma" w:cs="Tahoma"/>
          <w:b/>
          <w:bCs/>
          <w:sz w:val="24"/>
          <w:szCs w:val="24"/>
        </w:rPr>
        <w:t xml:space="preserve"> 2025</w:t>
      </w:r>
      <w:r w:rsidR="1AF7F50E" w:rsidRPr="5C991799">
        <w:rPr>
          <w:rFonts w:ascii="Tahoma" w:hAnsi="Tahoma" w:cs="Tahoma"/>
          <w:b/>
          <w:bCs/>
          <w:sz w:val="24"/>
          <w:szCs w:val="24"/>
        </w:rPr>
        <w:t xml:space="preserve"> </w:t>
      </w:r>
      <w:r w:rsidR="008907E4">
        <w:rPr>
          <w:rFonts w:ascii="Tahoma" w:hAnsi="Tahoma" w:cs="Tahoma"/>
          <w:b/>
          <w:bCs/>
          <w:sz w:val="24"/>
          <w:szCs w:val="24"/>
        </w:rPr>
        <w:t>– «Palästina – ein heisses Eisen»</w:t>
      </w:r>
    </w:p>
    <w:p w14:paraId="0D29B48F" w14:textId="05C9A643" w:rsidR="00DB71DF" w:rsidRDefault="00DB71DF" w:rsidP="00DB71DF">
      <w:pPr>
        <w:spacing w:line="240" w:lineRule="auto"/>
        <w:rPr>
          <w:rFonts w:ascii="Tahoma" w:hAnsi="Tahoma" w:cs="Tahoma"/>
          <w:sz w:val="24"/>
          <w:szCs w:val="24"/>
        </w:rPr>
      </w:pPr>
    </w:p>
    <w:p w14:paraId="23FC0992" w14:textId="6A04AB65" w:rsidR="009B7BCD" w:rsidRPr="00B30312" w:rsidRDefault="00B30312" w:rsidP="00DB71DF">
      <w:pPr>
        <w:spacing w:line="240" w:lineRule="auto"/>
        <w:rPr>
          <w:rFonts w:ascii="Tahoma" w:hAnsi="Tahoma" w:cs="Tahoma"/>
          <w:sz w:val="22"/>
          <w:szCs w:val="22"/>
        </w:rPr>
      </w:pPr>
      <w:r w:rsidRPr="00B30312">
        <w:rPr>
          <w:rFonts w:ascii="Tahoma" w:hAnsi="Tahoma" w:cs="Tahoma"/>
          <w:sz w:val="22"/>
          <w:szCs w:val="22"/>
        </w:rPr>
        <w:t>Sehr geehrte Damen und Herren</w:t>
      </w:r>
    </w:p>
    <w:p w14:paraId="6548CC47" w14:textId="77777777" w:rsidR="00B30312" w:rsidRDefault="00B30312" w:rsidP="00DB71DF">
      <w:pPr>
        <w:spacing w:line="240" w:lineRule="auto"/>
        <w:rPr>
          <w:rFonts w:ascii="Tahoma" w:hAnsi="Tahoma" w:cs="Tahoma"/>
          <w:sz w:val="24"/>
          <w:szCs w:val="24"/>
        </w:rPr>
      </w:pPr>
    </w:p>
    <w:p w14:paraId="140091B7" w14:textId="1E233665" w:rsidR="00DB71DF" w:rsidRDefault="0076173F" w:rsidP="00DB71DF">
      <w:pPr>
        <w:rPr>
          <w:rFonts w:ascii="Tahoma" w:hAnsi="Tahoma" w:cs="Tahoma"/>
          <w:sz w:val="22"/>
          <w:szCs w:val="22"/>
        </w:rPr>
      </w:pPr>
      <w:r>
        <w:rPr>
          <w:rFonts w:ascii="Tahoma" w:hAnsi="Tahoma" w:cs="Tahoma"/>
          <w:sz w:val="22"/>
          <w:szCs w:val="22"/>
        </w:rPr>
        <w:t>Gegen obigen Be</w:t>
      </w:r>
      <w:r w:rsidR="008A19CD">
        <w:rPr>
          <w:rFonts w:ascii="Tahoma" w:hAnsi="Tahoma" w:cs="Tahoma"/>
          <w:sz w:val="22"/>
          <w:szCs w:val="22"/>
        </w:rPr>
        <w:t>itrag</w:t>
      </w:r>
      <w:r>
        <w:rPr>
          <w:rFonts w:ascii="Tahoma" w:hAnsi="Tahoma" w:cs="Tahoma"/>
          <w:sz w:val="22"/>
          <w:szCs w:val="22"/>
        </w:rPr>
        <w:t xml:space="preserve"> sind vier Beanstandungen eingegangen</w:t>
      </w:r>
      <w:bookmarkStart w:id="1" w:name="_Hlk207018790"/>
      <w:r w:rsidR="00CB5D3E">
        <w:rPr>
          <w:rFonts w:ascii="Tahoma" w:hAnsi="Tahoma" w:cs="Tahoma"/>
          <w:sz w:val="22"/>
          <w:szCs w:val="22"/>
        </w:rPr>
        <w:t xml:space="preserve">. </w:t>
      </w:r>
      <w:bookmarkEnd w:id="1"/>
      <w:r w:rsidR="008A19CD">
        <w:rPr>
          <w:rFonts w:ascii="Tahoma" w:hAnsi="Tahoma" w:cs="Tahoma"/>
          <w:sz w:val="22"/>
          <w:szCs w:val="22"/>
        </w:rPr>
        <w:t xml:space="preserve">Da sie die gleichen oder ähnliche Punkte kritisieren, hat die </w:t>
      </w:r>
      <w:r w:rsidR="00CB5D3E">
        <w:rPr>
          <w:rFonts w:ascii="Tahoma" w:hAnsi="Tahoma" w:cs="Tahoma"/>
          <w:sz w:val="22"/>
          <w:szCs w:val="22"/>
        </w:rPr>
        <w:t>Redaktion eine Stellungnahme und die Ombudsstelle einen Schlussbericht</w:t>
      </w:r>
      <w:r w:rsidR="008A19CD">
        <w:rPr>
          <w:rFonts w:ascii="Tahoma" w:hAnsi="Tahoma" w:cs="Tahoma"/>
          <w:sz w:val="22"/>
          <w:szCs w:val="22"/>
        </w:rPr>
        <w:t xml:space="preserve"> verfasst</w:t>
      </w:r>
      <w:r w:rsidR="00CB5D3E">
        <w:rPr>
          <w:rFonts w:ascii="Tahoma" w:hAnsi="Tahoma" w:cs="Tahoma"/>
          <w:sz w:val="22"/>
          <w:szCs w:val="22"/>
        </w:rPr>
        <w:t>.</w:t>
      </w:r>
    </w:p>
    <w:p w14:paraId="0BFE52B3" w14:textId="77777777" w:rsidR="008A19CD" w:rsidRDefault="008A19CD" w:rsidP="00DB71DF">
      <w:pPr>
        <w:rPr>
          <w:rFonts w:ascii="Tahoma" w:hAnsi="Tahoma" w:cs="Tahoma"/>
          <w:sz w:val="22"/>
          <w:szCs w:val="22"/>
        </w:rPr>
      </w:pPr>
    </w:p>
    <w:p w14:paraId="32E2C7AA" w14:textId="2E31F5C7" w:rsidR="008A19CD" w:rsidRPr="008A19CD" w:rsidRDefault="008A19CD" w:rsidP="00DB71DF">
      <w:pPr>
        <w:rPr>
          <w:rFonts w:ascii="Tahoma" w:hAnsi="Tahoma" w:cs="Tahoma"/>
          <w:i/>
          <w:iCs/>
          <w:sz w:val="22"/>
          <w:szCs w:val="22"/>
        </w:rPr>
      </w:pPr>
      <w:r w:rsidRPr="008A19CD">
        <w:rPr>
          <w:rFonts w:ascii="Tahoma" w:hAnsi="Tahoma" w:cs="Tahoma"/>
          <w:i/>
          <w:iCs/>
          <w:sz w:val="22"/>
          <w:szCs w:val="22"/>
        </w:rPr>
        <w:t>Der Beitrag wurde wie folgt kritisiert:</w:t>
      </w:r>
    </w:p>
    <w:p w14:paraId="74E2E30F" w14:textId="77777777" w:rsidR="00DB71DF" w:rsidRPr="00F8560C" w:rsidRDefault="00DB71DF" w:rsidP="00DB71DF">
      <w:pPr>
        <w:rPr>
          <w:rFonts w:ascii="Tahoma" w:hAnsi="Tahoma" w:cs="Tahoma"/>
          <w:sz w:val="22"/>
          <w:szCs w:val="22"/>
        </w:rPr>
      </w:pPr>
    </w:p>
    <w:p w14:paraId="112F99BD" w14:textId="52B7DF17" w:rsidR="008907E4" w:rsidRPr="008907E4" w:rsidRDefault="00884F7E" w:rsidP="008907E4">
      <w:pPr>
        <w:rPr>
          <w:rFonts w:ascii="Tahoma" w:hAnsi="Tahoma" w:cs="Tahoma"/>
          <w:i/>
          <w:iCs/>
          <w:sz w:val="22"/>
          <w:szCs w:val="22"/>
        </w:rPr>
      </w:pPr>
      <w:r w:rsidRPr="00884F7E">
        <w:rPr>
          <w:rFonts w:ascii="Tahoma" w:hAnsi="Tahoma" w:cs="Tahoma"/>
          <w:i/>
          <w:iCs/>
          <w:sz w:val="22"/>
          <w:szCs w:val="22"/>
        </w:rPr>
        <w:t>«</w:t>
      </w:r>
      <w:r w:rsidR="008907E4" w:rsidRPr="008907E4">
        <w:rPr>
          <w:rFonts w:ascii="Tahoma" w:hAnsi="Tahoma" w:cs="Tahoma"/>
          <w:i/>
          <w:iCs/>
          <w:sz w:val="22"/>
          <w:szCs w:val="22"/>
        </w:rPr>
        <w:t>Mit grossem Interesse verfolge ich Ihre Arbeit zur Gewährleistung der Qualität und</w:t>
      </w:r>
      <w:r w:rsidR="008907E4">
        <w:rPr>
          <w:rFonts w:ascii="Tahoma" w:hAnsi="Tahoma" w:cs="Tahoma"/>
          <w:i/>
          <w:iCs/>
          <w:sz w:val="22"/>
          <w:szCs w:val="22"/>
        </w:rPr>
        <w:t xml:space="preserve"> </w:t>
      </w:r>
      <w:r w:rsidR="008907E4" w:rsidRPr="008907E4">
        <w:rPr>
          <w:rFonts w:ascii="Tahoma" w:hAnsi="Tahoma" w:cs="Tahoma"/>
          <w:i/>
          <w:iCs/>
          <w:sz w:val="22"/>
          <w:szCs w:val="22"/>
        </w:rPr>
        <w:t>Fairness in den SRF-Sendungen. Umso wichtiger ist es mir, eine Beanstandung zur</w:t>
      </w:r>
      <w:r w:rsidR="008907E4">
        <w:rPr>
          <w:rFonts w:ascii="Tahoma" w:hAnsi="Tahoma" w:cs="Tahoma"/>
          <w:i/>
          <w:iCs/>
          <w:sz w:val="22"/>
          <w:szCs w:val="22"/>
        </w:rPr>
        <w:t xml:space="preserve"> </w:t>
      </w:r>
      <w:r w:rsidR="008907E4" w:rsidRPr="008907E4">
        <w:rPr>
          <w:rFonts w:ascii="Tahoma" w:hAnsi="Tahoma" w:cs="Tahoma"/>
          <w:i/>
          <w:iCs/>
          <w:sz w:val="22"/>
          <w:szCs w:val="22"/>
        </w:rPr>
        <w:t>Ausgabe von „10 vor 10“ vom 25. Juli 2025 einzureichen, in der es um die angekündigte</w:t>
      </w:r>
    </w:p>
    <w:p w14:paraId="6A29948A"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Anerkennung Palästinas durch Frankreich ging.</w:t>
      </w:r>
    </w:p>
    <w:p w14:paraId="58346AC4"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Der Beitrag weist meiner Meinung nach mehrere gravierende Mängel auf, die gegen das</w:t>
      </w:r>
    </w:p>
    <w:p w14:paraId="6DF0CBF9"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Sachgerechtigkeitsgebot (Art. 4 RTVG) verstossen. Insbesondere wurden zentrale</w:t>
      </w:r>
    </w:p>
    <w:p w14:paraId="49CE0971"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historische und völkerrechtliche Aspekte ausgelassen oder verkürzt dargestellt, was eine</w:t>
      </w:r>
    </w:p>
    <w:p w14:paraId="004D02CE" w14:textId="77777777" w:rsidR="008907E4" w:rsidRDefault="008907E4" w:rsidP="008907E4">
      <w:pPr>
        <w:rPr>
          <w:rFonts w:ascii="Tahoma" w:hAnsi="Tahoma" w:cs="Tahoma"/>
          <w:i/>
          <w:iCs/>
          <w:sz w:val="22"/>
          <w:szCs w:val="22"/>
        </w:rPr>
      </w:pPr>
      <w:r w:rsidRPr="008907E4">
        <w:rPr>
          <w:rFonts w:ascii="Tahoma" w:hAnsi="Tahoma" w:cs="Tahoma"/>
          <w:i/>
          <w:iCs/>
          <w:sz w:val="22"/>
          <w:szCs w:val="22"/>
        </w:rPr>
        <w:t>einseitige und tendenziöse Berichterstattung zur Folge hat.</w:t>
      </w:r>
    </w:p>
    <w:p w14:paraId="19A8CB59" w14:textId="77777777" w:rsidR="008A19CD" w:rsidRPr="008907E4" w:rsidRDefault="008A19CD" w:rsidP="008907E4">
      <w:pPr>
        <w:rPr>
          <w:rFonts w:ascii="Tahoma" w:hAnsi="Tahoma" w:cs="Tahoma"/>
          <w:i/>
          <w:iCs/>
          <w:sz w:val="22"/>
          <w:szCs w:val="22"/>
        </w:rPr>
      </w:pPr>
    </w:p>
    <w:p w14:paraId="257148A4" w14:textId="77777777" w:rsidR="008907E4" w:rsidRPr="008907E4" w:rsidRDefault="008907E4" w:rsidP="008907E4">
      <w:pPr>
        <w:rPr>
          <w:rFonts w:ascii="Tahoma" w:hAnsi="Tahoma" w:cs="Tahoma"/>
          <w:b/>
          <w:bCs/>
          <w:i/>
          <w:iCs/>
          <w:sz w:val="22"/>
          <w:szCs w:val="22"/>
        </w:rPr>
      </w:pPr>
      <w:r w:rsidRPr="008907E4">
        <w:rPr>
          <w:rFonts w:ascii="Tahoma" w:hAnsi="Tahoma" w:cs="Tahoma"/>
          <w:b/>
          <w:bCs/>
          <w:i/>
          <w:iCs/>
          <w:sz w:val="22"/>
          <w:szCs w:val="22"/>
        </w:rPr>
        <w:t>1. Kritik an der Darstellung des „Staatsvolks“</w:t>
      </w:r>
    </w:p>
    <w:p w14:paraId="05FC9114"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Im Beitrag wurde gesagt, die Palästinenser seien „eine Ethnie, entstanden aus</w:t>
      </w:r>
    </w:p>
    <w:p w14:paraId="4556516E"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arabischen Völkern, die seit Langem im Nahen Osten leben“. Diese Formulierung ist</w:t>
      </w:r>
    </w:p>
    <w:p w14:paraId="1B7EC666"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nicht nur verkürzt, sondern politisch entwaffnend und historisch irreführend.</w:t>
      </w:r>
    </w:p>
    <w:p w14:paraId="698DFDEF"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Während SRF betont, dass Juden „seit Jahrtausenden hier lebten“, wird der indigenen</w:t>
      </w:r>
    </w:p>
    <w:p w14:paraId="0753B396"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palästinensischen Bevölkerung ein solcher Status nicht nur vorenthalten, sondern</w:t>
      </w:r>
    </w:p>
    <w:p w14:paraId="086C09BD" w14:textId="77777777" w:rsidR="008A19CD" w:rsidRDefault="008907E4" w:rsidP="008907E4">
      <w:pPr>
        <w:rPr>
          <w:rFonts w:ascii="Tahoma" w:hAnsi="Tahoma" w:cs="Tahoma"/>
          <w:i/>
          <w:iCs/>
          <w:sz w:val="22"/>
          <w:szCs w:val="22"/>
        </w:rPr>
      </w:pPr>
      <w:r w:rsidRPr="008907E4">
        <w:rPr>
          <w:rFonts w:ascii="Tahoma" w:hAnsi="Tahoma" w:cs="Tahoma"/>
          <w:i/>
          <w:iCs/>
          <w:sz w:val="22"/>
          <w:szCs w:val="22"/>
        </w:rPr>
        <w:t xml:space="preserve">regelrecht verwischt. </w:t>
      </w:r>
    </w:p>
    <w:p w14:paraId="266C4E5B" w14:textId="77777777" w:rsidR="008A19CD" w:rsidRDefault="008A19CD" w:rsidP="008907E4">
      <w:pPr>
        <w:rPr>
          <w:rFonts w:ascii="Tahoma" w:hAnsi="Tahoma" w:cs="Tahoma"/>
          <w:i/>
          <w:iCs/>
          <w:sz w:val="22"/>
          <w:szCs w:val="22"/>
        </w:rPr>
      </w:pPr>
    </w:p>
    <w:p w14:paraId="311D3B57" w14:textId="33BE4BBD" w:rsidR="008907E4" w:rsidRPr="008907E4" w:rsidRDefault="008907E4" w:rsidP="008907E4">
      <w:pPr>
        <w:rPr>
          <w:rFonts w:ascii="Tahoma" w:hAnsi="Tahoma" w:cs="Tahoma"/>
          <w:i/>
          <w:iCs/>
          <w:sz w:val="22"/>
          <w:szCs w:val="22"/>
        </w:rPr>
      </w:pPr>
      <w:r w:rsidRPr="008907E4">
        <w:rPr>
          <w:rFonts w:ascii="Tahoma" w:hAnsi="Tahoma" w:cs="Tahoma"/>
          <w:i/>
          <w:iCs/>
          <w:sz w:val="22"/>
          <w:szCs w:val="22"/>
        </w:rPr>
        <w:lastRenderedPageBreak/>
        <w:t>Dass ein Volk, das seit Jahrhunderten in diesem Raum lebte –</w:t>
      </w:r>
    </w:p>
    <w:p w14:paraId="497A34C6"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inklusive christlicher und muslimischer Gemeinschaften – durch Kolonialisierung und</w:t>
      </w:r>
    </w:p>
    <w:p w14:paraId="7047644C" w14:textId="77777777" w:rsidR="008907E4" w:rsidRDefault="008907E4" w:rsidP="008907E4">
      <w:pPr>
        <w:rPr>
          <w:rFonts w:ascii="Tahoma" w:hAnsi="Tahoma" w:cs="Tahoma"/>
          <w:i/>
          <w:iCs/>
          <w:sz w:val="22"/>
          <w:szCs w:val="22"/>
        </w:rPr>
      </w:pPr>
      <w:r w:rsidRPr="008907E4">
        <w:rPr>
          <w:rFonts w:ascii="Tahoma" w:hAnsi="Tahoma" w:cs="Tahoma"/>
          <w:i/>
          <w:iCs/>
          <w:sz w:val="22"/>
          <w:szCs w:val="22"/>
        </w:rPr>
        <w:t>Vertreibung entrechtet wurde, bleibt vollständig ausgeblendet.</w:t>
      </w:r>
    </w:p>
    <w:p w14:paraId="558B4044" w14:textId="77777777" w:rsidR="00B30312" w:rsidRPr="008907E4" w:rsidRDefault="00B30312" w:rsidP="008907E4">
      <w:pPr>
        <w:rPr>
          <w:rFonts w:ascii="Tahoma" w:hAnsi="Tahoma" w:cs="Tahoma"/>
          <w:i/>
          <w:iCs/>
          <w:sz w:val="22"/>
          <w:szCs w:val="22"/>
        </w:rPr>
      </w:pPr>
    </w:p>
    <w:p w14:paraId="7DDFA5AD" w14:textId="77777777" w:rsidR="008907E4" w:rsidRPr="008907E4" w:rsidRDefault="008907E4" w:rsidP="008907E4">
      <w:pPr>
        <w:rPr>
          <w:rFonts w:ascii="Tahoma" w:hAnsi="Tahoma" w:cs="Tahoma"/>
          <w:b/>
          <w:bCs/>
          <w:i/>
          <w:iCs/>
          <w:sz w:val="22"/>
          <w:szCs w:val="22"/>
        </w:rPr>
      </w:pPr>
      <w:r w:rsidRPr="008907E4">
        <w:rPr>
          <w:rFonts w:ascii="Tahoma" w:hAnsi="Tahoma" w:cs="Tahoma"/>
          <w:b/>
          <w:bCs/>
          <w:i/>
          <w:iCs/>
          <w:sz w:val="22"/>
          <w:szCs w:val="22"/>
        </w:rPr>
        <w:t>2. Darstellung des „Staatsgebiets“ – historisch verzerrt</w:t>
      </w:r>
    </w:p>
    <w:p w14:paraId="07E3D79C"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Der Beitrag suggerierte, dass viele Palästinenser ein Gebiet „vom Fluss bis zum Meer“</w:t>
      </w:r>
    </w:p>
    <w:p w14:paraId="4AD33597"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beanspruchen und damit Israels Existenzrecht infrage stellen.</w:t>
      </w:r>
    </w:p>
    <w:p w14:paraId="23BBCB5B"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Diese Formulierung trägt ungewollt dazu bei, ein Narrativ zu verstärken, das die</w:t>
      </w:r>
    </w:p>
    <w:p w14:paraId="7675324E"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legitimen Forderungen der Palästinenser nach Freiheit und Selbstbestimmung als</w:t>
      </w:r>
    </w:p>
    <w:p w14:paraId="0917C8C9"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Bedrohung darstellt. Tatsächlich geht es den Palästinensern vor allem darum, unter der</w:t>
      </w:r>
    </w:p>
    <w:p w14:paraId="707E709A"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fortwährenden Besatzung und Unterdrückung ein Leben in Würde und Souveränität zu</w:t>
      </w:r>
    </w:p>
    <w:p w14:paraId="3DB2BCE1"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führen.</w:t>
      </w:r>
    </w:p>
    <w:p w14:paraId="0D04E42D"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Die Aussage wurde nicht historisch oder politisch eingeordnet, sondern isoliert</w:t>
      </w:r>
    </w:p>
    <w:p w14:paraId="0FB23D0F"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dargestellt – ohne Erwähnung jahrzehntelanger Besatzungserfahrungen, Enteignungen</w:t>
      </w:r>
    </w:p>
    <w:p w14:paraId="43DD3075"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oder der ursprünglichen UN-Teilungspläne von 1947.</w:t>
      </w:r>
    </w:p>
    <w:p w14:paraId="1798C156"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Es fehlt zudem jeder Hinweis auf den massiven israelischen Siedlungsbau, die</w:t>
      </w:r>
    </w:p>
    <w:p w14:paraId="5A3DC8FF"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Sperranlagen, die systematische Zersplitterung palästinensischer Gebiete, die täglichen</w:t>
      </w:r>
    </w:p>
    <w:p w14:paraId="0F54C6CA"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militärischen Einschränkungen sowie die Anwendung israelischen Militärrechts</w:t>
      </w:r>
    </w:p>
    <w:p w14:paraId="425AF94B"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gegenüber der palästinensischen Bevölkerung – all dies macht ein kohärentes</w:t>
      </w:r>
    </w:p>
    <w:p w14:paraId="371A77C8" w14:textId="77777777" w:rsidR="008907E4" w:rsidRDefault="008907E4" w:rsidP="008907E4">
      <w:pPr>
        <w:rPr>
          <w:rFonts w:ascii="Tahoma" w:hAnsi="Tahoma" w:cs="Tahoma"/>
          <w:i/>
          <w:iCs/>
          <w:sz w:val="22"/>
          <w:szCs w:val="22"/>
        </w:rPr>
      </w:pPr>
      <w:r w:rsidRPr="008907E4">
        <w:rPr>
          <w:rFonts w:ascii="Tahoma" w:hAnsi="Tahoma" w:cs="Tahoma"/>
          <w:i/>
          <w:iCs/>
          <w:sz w:val="22"/>
          <w:szCs w:val="22"/>
        </w:rPr>
        <w:t>Staatsgebiet faktisch unmöglich.</w:t>
      </w:r>
    </w:p>
    <w:p w14:paraId="2FD38CE8" w14:textId="77777777" w:rsidR="008A19CD" w:rsidRPr="008907E4" w:rsidRDefault="008A19CD" w:rsidP="008907E4">
      <w:pPr>
        <w:rPr>
          <w:rFonts w:ascii="Tahoma" w:hAnsi="Tahoma" w:cs="Tahoma"/>
          <w:i/>
          <w:iCs/>
          <w:sz w:val="22"/>
          <w:szCs w:val="22"/>
        </w:rPr>
      </w:pPr>
    </w:p>
    <w:p w14:paraId="0D71FCB7" w14:textId="77777777" w:rsidR="008907E4" w:rsidRPr="008907E4" w:rsidRDefault="008907E4" w:rsidP="008907E4">
      <w:pPr>
        <w:rPr>
          <w:rFonts w:ascii="Tahoma" w:hAnsi="Tahoma" w:cs="Tahoma"/>
          <w:b/>
          <w:bCs/>
          <w:i/>
          <w:iCs/>
          <w:sz w:val="22"/>
          <w:szCs w:val="22"/>
        </w:rPr>
      </w:pPr>
      <w:r w:rsidRPr="008907E4">
        <w:rPr>
          <w:rFonts w:ascii="Tahoma" w:hAnsi="Tahoma" w:cs="Tahoma"/>
          <w:b/>
          <w:bCs/>
          <w:i/>
          <w:iCs/>
          <w:sz w:val="22"/>
          <w:szCs w:val="22"/>
        </w:rPr>
        <w:t>3. Staatsgewalt und politische Repräsentation</w:t>
      </w:r>
    </w:p>
    <w:p w14:paraId="68F8AFC6"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Die Erwähnung des Wahlsiegs der Hamas im Jahr 2006 sowie die Korruption der Fatah</w:t>
      </w:r>
    </w:p>
    <w:p w14:paraId="277C4115"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wurden ohne jeglichen Kontext zur israelischen Besatzung eingebettet. Dass Israel</w:t>
      </w:r>
    </w:p>
    <w:p w14:paraId="64D989A9"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durch gezielte Politik und Gewaltmonopol (einschliesslich Kooperation mit Teilen der</w:t>
      </w:r>
    </w:p>
    <w:p w14:paraId="0882F9BB"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Palästinensischen Autonomiebehörde) jede funktionierende Selbstverwaltung</w:t>
      </w:r>
    </w:p>
    <w:p w14:paraId="23B32C8A" w14:textId="77777777" w:rsidR="008907E4" w:rsidRDefault="008907E4" w:rsidP="008907E4">
      <w:pPr>
        <w:rPr>
          <w:rFonts w:ascii="Tahoma" w:hAnsi="Tahoma" w:cs="Tahoma"/>
          <w:i/>
          <w:iCs/>
          <w:sz w:val="22"/>
          <w:szCs w:val="22"/>
        </w:rPr>
      </w:pPr>
      <w:r w:rsidRPr="008907E4">
        <w:rPr>
          <w:rFonts w:ascii="Tahoma" w:hAnsi="Tahoma" w:cs="Tahoma"/>
          <w:i/>
          <w:iCs/>
          <w:sz w:val="22"/>
          <w:szCs w:val="22"/>
        </w:rPr>
        <w:t>untergräbt, bleibt unerwähnt.</w:t>
      </w:r>
    </w:p>
    <w:p w14:paraId="3BB14FA9" w14:textId="77777777" w:rsidR="008A19CD" w:rsidRPr="008907E4" w:rsidRDefault="008A19CD" w:rsidP="008907E4">
      <w:pPr>
        <w:rPr>
          <w:rFonts w:ascii="Tahoma" w:hAnsi="Tahoma" w:cs="Tahoma"/>
          <w:i/>
          <w:iCs/>
          <w:sz w:val="22"/>
          <w:szCs w:val="22"/>
        </w:rPr>
      </w:pPr>
    </w:p>
    <w:p w14:paraId="2BC0670D" w14:textId="77777777" w:rsidR="008907E4" w:rsidRPr="008907E4" w:rsidRDefault="008907E4" w:rsidP="008907E4">
      <w:pPr>
        <w:rPr>
          <w:rFonts w:ascii="Tahoma" w:hAnsi="Tahoma" w:cs="Tahoma"/>
          <w:b/>
          <w:bCs/>
          <w:i/>
          <w:iCs/>
          <w:sz w:val="22"/>
          <w:szCs w:val="22"/>
        </w:rPr>
      </w:pPr>
      <w:r w:rsidRPr="008907E4">
        <w:rPr>
          <w:rFonts w:ascii="Tahoma" w:hAnsi="Tahoma" w:cs="Tahoma"/>
          <w:b/>
          <w:bCs/>
          <w:i/>
          <w:iCs/>
          <w:sz w:val="22"/>
          <w:szCs w:val="22"/>
        </w:rPr>
        <w:t>4. Verzerrte Darstellung der internationalen Anerkennung</w:t>
      </w:r>
    </w:p>
    <w:p w14:paraId="0F3E2B0D"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Frankreich wurde im Beitrag als das erste wichtige europäische Land dargestellt, das</w:t>
      </w:r>
    </w:p>
    <w:p w14:paraId="5F065695"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Palästina anerkennt. Das ist sachlich falsch. Bereits zuvor haben Länder wie Schweden,</w:t>
      </w:r>
    </w:p>
    <w:p w14:paraId="11346933" w14:textId="77777777" w:rsidR="008907E4" w:rsidRDefault="008907E4" w:rsidP="008907E4">
      <w:pPr>
        <w:rPr>
          <w:rFonts w:ascii="Tahoma" w:hAnsi="Tahoma" w:cs="Tahoma"/>
          <w:i/>
          <w:iCs/>
          <w:sz w:val="22"/>
          <w:szCs w:val="22"/>
        </w:rPr>
      </w:pPr>
      <w:r w:rsidRPr="008907E4">
        <w:rPr>
          <w:rFonts w:ascii="Tahoma" w:hAnsi="Tahoma" w:cs="Tahoma"/>
          <w:i/>
          <w:iCs/>
          <w:sz w:val="22"/>
          <w:szCs w:val="22"/>
        </w:rPr>
        <w:t>Spanien, Norwegen und Irland Palästina offiziell anerkannt.</w:t>
      </w:r>
    </w:p>
    <w:p w14:paraId="56B98BA9" w14:textId="77777777" w:rsidR="008A19CD" w:rsidRPr="008907E4" w:rsidRDefault="008A19CD" w:rsidP="008907E4">
      <w:pPr>
        <w:rPr>
          <w:rFonts w:ascii="Tahoma" w:hAnsi="Tahoma" w:cs="Tahoma"/>
          <w:i/>
          <w:iCs/>
          <w:sz w:val="22"/>
          <w:szCs w:val="22"/>
        </w:rPr>
      </w:pPr>
    </w:p>
    <w:p w14:paraId="22B47F8E" w14:textId="77777777" w:rsidR="008907E4" w:rsidRPr="008907E4" w:rsidRDefault="008907E4" w:rsidP="008907E4">
      <w:pPr>
        <w:rPr>
          <w:rFonts w:ascii="Tahoma" w:hAnsi="Tahoma" w:cs="Tahoma"/>
          <w:b/>
          <w:bCs/>
          <w:i/>
          <w:iCs/>
          <w:sz w:val="22"/>
          <w:szCs w:val="22"/>
        </w:rPr>
      </w:pPr>
      <w:r w:rsidRPr="008907E4">
        <w:rPr>
          <w:rFonts w:ascii="Tahoma" w:hAnsi="Tahoma" w:cs="Tahoma"/>
          <w:b/>
          <w:bCs/>
          <w:i/>
          <w:iCs/>
          <w:sz w:val="22"/>
          <w:szCs w:val="22"/>
        </w:rPr>
        <w:t>5. Auslassung völkerrechtlicher Einschätzungen</w:t>
      </w:r>
    </w:p>
    <w:p w14:paraId="018E1CA4"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Es fehlen Hinweise auf die Positionen des Internationalen Gerichtshofs oder auf die</w:t>
      </w:r>
    </w:p>
    <w:p w14:paraId="43ED7FF1"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Einschätzungen von renommierten Organisationen wie Human Rights Watch und</w:t>
      </w:r>
    </w:p>
    <w:p w14:paraId="09521B85"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Amnesty International. Diese haben Israels Vorgehen in den besetzten Gebieten klar als</w:t>
      </w:r>
    </w:p>
    <w:p w14:paraId="2DF66987"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völkerrechtswidrig und teils als Apartheid bezeichnet. Auch der IGH selbst hat die</w:t>
      </w:r>
    </w:p>
    <w:p w14:paraId="613B19F6"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Besatzung als völkerrechtswidrig festgestellt.</w:t>
      </w:r>
    </w:p>
    <w:p w14:paraId="335FDBDE"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Mir ist bewusst, dass ein Beitrag im Rahmen von „10 vor 10“ nicht die ganze Komplexität</w:t>
      </w:r>
    </w:p>
    <w:p w14:paraId="7F82A3E5"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des Nahostkonflikts darstellen kann. Doch die Auswahl, Gewichtung und Einordnung der</w:t>
      </w:r>
    </w:p>
    <w:p w14:paraId="51D676A3"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Aussagen in diesem Beitrag war einseitig und unausgewogen. Sie verstärkt stereotype</w:t>
      </w:r>
    </w:p>
    <w:p w14:paraId="2B921B2A"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t>Narrative, blendet wesentliche Fakten aus und delegitimiert die palästinensische</w:t>
      </w:r>
    </w:p>
    <w:p w14:paraId="1F28ECD5" w14:textId="77777777" w:rsidR="008907E4" w:rsidRDefault="008907E4" w:rsidP="008907E4">
      <w:pPr>
        <w:rPr>
          <w:rFonts w:ascii="Tahoma" w:hAnsi="Tahoma" w:cs="Tahoma"/>
          <w:i/>
          <w:iCs/>
          <w:sz w:val="22"/>
          <w:szCs w:val="22"/>
        </w:rPr>
      </w:pPr>
      <w:r w:rsidRPr="008907E4">
        <w:rPr>
          <w:rFonts w:ascii="Tahoma" w:hAnsi="Tahoma" w:cs="Tahoma"/>
          <w:i/>
          <w:iCs/>
          <w:sz w:val="22"/>
          <w:szCs w:val="22"/>
        </w:rPr>
        <w:t>Perspektive.</w:t>
      </w:r>
    </w:p>
    <w:p w14:paraId="6D453091" w14:textId="77777777" w:rsidR="008A19CD" w:rsidRPr="008907E4" w:rsidRDefault="008A19CD" w:rsidP="008907E4">
      <w:pPr>
        <w:rPr>
          <w:rFonts w:ascii="Tahoma" w:hAnsi="Tahoma" w:cs="Tahoma"/>
          <w:i/>
          <w:iCs/>
          <w:sz w:val="22"/>
          <w:szCs w:val="22"/>
        </w:rPr>
      </w:pPr>
    </w:p>
    <w:p w14:paraId="0012614D" w14:textId="77777777" w:rsidR="008907E4" w:rsidRPr="008907E4" w:rsidRDefault="008907E4" w:rsidP="008907E4">
      <w:pPr>
        <w:rPr>
          <w:rFonts w:ascii="Tahoma" w:hAnsi="Tahoma" w:cs="Tahoma"/>
          <w:i/>
          <w:iCs/>
          <w:sz w:val="22"/>
          <w:szCs w:val="22"/>
        </w:rPr>
      </w:pPr>
      <w:r w:rsidRPr="008907E4">
        <w:rPr>
          <w:rFonts w:ascii="Tahoma" w:hAnsi="Tahoma" w:cs="Tahoma"/>
          <w:i/>
          <w:iCs/>
          <w:sz w:val="22"/>
          <w:szCs w:val="22"/>
        </w:rPr>
        <w:lastRenderedPageBreak/>
        <w:t>Ich bitte Sie deshalb um eine Stellungnahme und um Prüfung dieser Kritik in Hinblick auf</w:t>
      </w:r>
    </w:p>
    <w:p w14:paraId="5C2B8A1B" w14:textId="77777777" w:rsidR="008907E4" w:rsidRDefault="008907E4" w:rsidP="008907E4">
      <w:pPr>
        <w:rPr>
          <w:rFonts w:ascii="Tahoma" w:hAnsi="Tahoma" w:cs="Tahoma"/>
          <w:i/>
          <w:iCs/>
          <w:sz w:val="22"/>
          <w:szCs w:val="22"/>
        </w:rPr>
      </w:pPr>
      <w:r w:rsidRPr="008907E4">
        <w:rPr>
          <w:rFonts w:ascii="Tahoma" w:hAnsi="Tahoma" w:cs="Tahoma"/>
          <w:i/>
          <w:iCs/>
          <w:sz w:val="22"/>
          <w:szCs w:val="22"/>
        </w:rPr>
        <w:t>die Einhaltung des Sachgerechtigkeitsgebots gemäss RTVG.</w:t>
      </w:r>
    </w:p>
    <w:p w14:paraId="5BCA8A7E" w14:textId="77777777" w:rsidR="00D91377" w:rsidRDefault="00D91377" w:rsidP="008907E4">
      <w:pPr>
        <w:rPr>
          <w:rFonts w:ascii="Tahoma" w:hAnsi="Tahoma" w:cs="Tahoma"/>
          <w:i/>
          <w:iCs/>
          <w:sz w:val="22"/>
          <w:szCs w:val="22"/>
        </w:rPr>
      </w:pPr>
    </w:p>
    <w:p w14:paraId="1A31FE66" w14:textId="3484E0B4" w:rsidR="00B30312" w:rsidRDefault="008A19CD" w:rsidP="008907E4">
      <w:pPr>
        <w:rPr>
          <w:rFonts w:ascii="Tahoma" w:hAnsi="Tahoma" w:cs="Tahoma"/>
          <w:b/>
          <w:bCs/>
          <w:sz w:val="22"/>
          <w:szCs w:val="22"/>
        </w:rPr>
      </w:pP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t>****</w:t>
      </w:r>
    </w:p>
    <w:p w14:paraId="6A887677" w14:textId="77777777" w:rsidR="00B30312" w:rsidRDefault="00B30312" w:rsidP="008907E4">
      <w:pPr>
        <w:rPr>
          <w:rFonts w:ascii="Tahoma" w:hAnsi="Tahoma" w:cs="Tahoma"/>
          <w:b/>
          <w:bCs/>
          <w:sz w:val="22"/>
          <w:szCs w:val="22"/>
        </w:rPr>
      </w:pPr>
    </w:p>
    <w:p w14:paraId="17ED7060" w14:textId="4BCA911B" w:rsidR="008A19CD" w:rsidRPr="008A19CD" w:rsidRDefault="008A19CD" w:rsidP="008A19CD">
      <w:pPr>
        <w:rPr>
          <w:rFonts w:ascii="Tahoma" w:hAnsi="Tahoma" w:cs="Tahoma"/>
          <w:i/>
          <w:iCs/>
          <w:sz w:val="22"/>
          <w:szCs w:val="22"/>
        </w:rPr>
      </w:pPr>
      <w:r w:rsidRPr="008A19CD">
        <w:rPr>
          <w:rFonts w:ascii="Tahoma" w:hAnsi="Tahoma" w:cs="Tahoma"/>
          <w:i/>
          <w:iCs/>
          <w:sz w:val="22"/>
          <w:szCs w:val="22"/>
        </w:rPr>
        <w:t>In der Sendung 10 vor 10 vom 25. Juli 2025, zum Thema «... angekündigte Palästina Anerkennung durch Frankreich», sind uns schwerwiegende Unterlassungen in der Berichterstattung aufgefallen, die wir als Verletzung des RTVG, Artikel 4, wahrnehmen.</w:t>
      </w:r>
    </w:p>
    <w:p w14:paraId="33C6B4CB" w14:textId="77777777" w:rsidR="008A19CD" w:rsidRPr="008A19CD" w:rsidRDefault="008A19CD" w:rsidP="008A19CD">
      <w:pPr>
        <w:rPr>
          <w:rFonts w:ascii="Tahoma" w:hAnsi="Tahoma" w:cs="Tahoma"/>
          <w:sz w:val="22"/>
          <w:szCs w:val="22"/>
        </w:rPr>
      </w:pPr>
    </w:p>
    <w:p w14:paraId="0AFCD617" w14:textId="77777777" w:rsidR="008A19CD" w:rsidRPr="008A19CD" w:rsidRDefault="008A19CD" w:rsidP="008A19CD">
      <w:pPr>
        <w:jc w:val="both"/>
        <w:rPr>
          <w:rFonts w:ascii="Tahoma" w:hAnsi="Tahoma" w:cs="Tahoma"/>
          <w:i/>
          <w:iCs/>
          <w:sz w:val="22"/>
          <w:szCs w:val="22"/>
        </w:rPr>
      </w:pPr>
      <w:r w:rsidRPr="008A19CD">
        <w:rPr>
          <w:rFonts w:ascii="Tahoma" w:hAnsi="Tahoma" w:cs="Tahoma"/>
          <w:i/>
          <w:iCs/>
          <w:sz w:val="22"/>
          <w:szCs w:val="22"/>
        </w:rPr>
        <w:t>1. Punkt</w:t>
      </w:r>
    </w:p>
    <w:p w14:paraId="792A44C5" w14:textId="26D0DC2D" w:rsidR="008A19CD" w:rsidRDefault="008A19CD" w:rsidP="008A19CD">
      <w:pPr>
        <w:jc w:val="both"/>
        <w:rPr>
          <w:rFonts w:ascii="Tahoma" w:hAnsi="Tahoma" w:cs="Tahoma"/>
          <w:i/>
          <w:iCs/>
          <w:sz w:val="22"/>
          <w:szCs w:val="22"/>
        </w:rPr>
      </w:pPr>
      <w:r w:rsidRPr="008A19CD">
        <w:rPr>
          <w:rFonts w:ascii="Tahoma" w:hAnsi="Tahoma" w:cs="Tahoma"/>
          <w:i/>
          <w:iCs/>
          <w:sz w:val="22"/>
          <w:szCs w:val="22"/>
        </w:rPr>
        <w:t>Im Beitrag wurde die palästinensische Bevölkerung als Ethnie dargestellt, die «schon lange in dieser Gegend lebe». Gleichzeitig wurde die jüdische Bevölkerung im Bericht als «.,. seit Jahrtausenden im Gebiet lebend» dargestellt. Obwohl dies grundsätzlich auf beide Bevölkerungsgruppen gleichermassen zutrifft. Mit dieser Aussage wird die palästinensische Bevölkerung historisch heruntergesetzt und der Anspruch auf einen eigenen Staat (2-Staatenlösung) unterschwellig als nicht legitim dargestellt. Dass eine massive Besiedlung der jüdischen Bevölkerung erst nach dem 2. Weltkrieg, mit der Vertreibung eines grossen Teils der palästinensischen Bevölkerung 1948 stattfand, wurde ausgeklammert.</w:t>
      </w:r>
    </w:p>
    <w:p w14:paraId="7C0A5F00" w14:textId="77777777" w:rsidR="008A19CD" w:rsidRPr="008A19CD" w:rsidRDefault="008A19CD" w:rsidP="008A19CD">
      <w:pPr>
        <w:jc w:val="both"/>
        <w:rPr>
          <w:rFonts w:ascii="Tahoma" w:hAnsi="Tahoma" w:cs="Tahoma"/>
          <w:i/>
          <w:iCs/>
          <w:sz w:val="22"/>
          <w:szCs w:val="22"/>
        </w:rPr>
      </w:pPr>
    </w:p>
    <w:p w14:paraId="659D31D3" w14:textId="77777777" w:rsidR="008A19CD" w:rsidRPr="008A19CD" w:rsidRDefault="008A19CD" w:rsidP="008A19CD">
      <w:pPr>
        <w:jc w:val="both"/>
        <w:rPr>
          <w:rFonts w:ascii="Tahoma" w:hAnsi="Tahoma" w:cs="Tahoma"/>
          <w:i/>
          <w:iCs/>
          <w:sz w:val="22"/>
          <w:szCs w:val="22"/>
        </w:rPr>
      </w:pPr>
      <w:r w:rsidRPr="008A19CD">
        <w:rPr>
          <w:rFonts w:ascii="Tahoma" w:hAnsi="Tahoma" w:cs="Tahoma"/>
          <w:i/>
          <w:iCs/>
          <w:sz w:val="22"/>
          <w:szCs w:val="22"/>
        </w:rPr>
        <w:t>2. Punkt</w:t>
      </w:r>
    </w:p>
    <w:p w14:paraId="1B62BC3B" w14:textId="77777777" w:rsidR="008A19CD" w:rsidRDefault="008A19CD" w:rsidP="008A19CD">
      <w:pPr>
        <w:rPr>
          <w:rFonts w:ascii="Tahoma" w:hAnsi="Tahoma" w:cs="Tahoma"/>
          <w:i/>
          <w:iCs/>
          <w:sz w:val="22"/>
          <w:szCs w:val="22"/>
        </w:rPr>
      </w:pPr>
      <w:r w:rsidRPr="008A19CD">
        <w:rPr>
          <w:rFonts w:ascii="Tahoma" w:hAnsi="Tahoma" w:cs="Tahoma"/>
          <w:i/>
          <w:iCs/>
          <w:sz w:val="22"/>
          <w:szCs w:val="22"/>
        </w:rPr>
        <w:t>Die Verkündung Frankreichs, dass im Herbst Palästina als Staat anerkannt werden würde und es das erste grosse Land in Europa sei, entspricht nicht den Tatsachen. Norwegen, Spanien, Schweden und Irland haben diesen Schritt bereits vollzogen. Zusätzlich ausgeklammert wurde dabei, dass Palästina schon von 147 von 193 Uno Mitgliedsstaaten anerkannt wurde.</w:t>
      </w:r>
      <w:r>
        <w:rPr>
          <w:rFonts w:ascii="Tahoma" w:hAnsi="Tahoma" w:cs="Tahoma"/>
          <w:i/>
          <w:iCs/>
          <w:sz w:val="22"/>
          <w:szCs w:val="22"/>
        </w:rPr>
        <w:t xml:space="preserve"> </w:t>
      </w:r>
    </w:p>
    <w:p w14:paraId="2FC1DEB2" w14:textId="5A160FA3" w:rsidR="008A19CD" w:rsidRPr="008A19CD" w:rsidRDefault="008A19CD" w:rsidP="008A19CD">
      <w:pPr>
        <w:rPr>
          <w:rFonts w:ascii="Tahoma" w:hAnsi="Tahoma" w:cs="Tahoma"/>
          <w:i/>
          <w:iCs/>
          <w:sz w:val="22"/>
          <w:szCs w:val="22"/>
        </w:rPr>
      </w:pPr>
      <w:r>
        <w:rPr>
          <w:rFonts w:ascii="Tahoma" w:hAnsi="Tahoma" w:cs="Tahoma"/>
          <w:i/>
          <w:iCs/>
          <w:sz w:val="22"/>
          <w:szCs w:val="22"/>
        </w:rPr>
        <w:t xml:space="preserve">  </w:t>
      </w:r>
    </w:p>
    <w:p w14:paraId="3B891F8B" w14:textId="77777777" w:rsidR="008A19CD" w:rsidRPr="008A19CD" w:rsidRDefault="008A19CD" w:rsidP="008A19CD">
      <w:pPr>
        <w:rPr>
          <w:rFonts w:ascii="Tahoma" w:hAnsi="Tahoma" w:cs="Tahoma"/>
          <w:i/>
          <w:iCs/>
          <w:sz w:val="22"/>
          <w:szCs w:val="22"/>
        </w:rPr>
      </w:pPr>
      <w:r w:rsidRPr="008A19CD">
        <w:rPr>
          <w:rFonts w:ascii="Tahoma" w:hAnsi="Tahoma" w:cs="Tahoma"/>
          <w:i/>
          <w:iCs/>
          <w:sz w:val="22"/>
          <w:szCs w:val="22"/>
        </w:rPr>
        <w:t>3. Punkt</w:t>
      </w:r>
    </w:p>
    <w:p w14:paraId="5A28002D" w14:textId="52425817" w:rsidR="008A19CD" w:rsidRPr="008A19CD" w:rsidRDefault="008A19CD" w:rsidP="008A19CD">
      <w:pPr>
        <w:rPr>
          <w:rFonts w:ascii="Tahoma" w:hAnsi="Tahoma" w:cs="Tahoma"/>
          <w:sz w:val="22"/>
          <w:szCs w:val="22"/>
        </w:rPr>
      </w:pPr>
      <w:r w:rsidRPr="008A19CD">
        <w:rPr>
          <w:rFonts w:ascii="Tahoma" w:hAnsi="Tahoma" w:cs="Tahoma"/>
          <w:sz w:val="22"/>
          <w:szCs w:val="22"/>
        </w:rPr>
        <w:t>Es war für uns mehr als störend, dass im Bericht sämtliche völkerrechtlichen Aspekte ausser Acht</w:t>
      </w:r>
      <w:r>
        <w:rPr>
          <w:rFonts w:ascii="Tahoma" w:hAnsi="Tahoma" w:cs="Tahoma"/>
          <w:sz w:val="22"/>
          <w:szCs w:val="22"/>
        </w:rPr>
        <w:t xml:space="preserve"> </w:t>
      </w:r>
      <w:r w:rsidRPr="008A19CD">
        <w:rPr>
          <w:rFonts w:ascii="Tahoma" w:hAnsi="Tahoma" w:cs="Tahoma"/>
          <w:sz w:val="22"/>
          <w:szCs w:val="22"/>
        </w:rPr>
        <w:t>gelassen wurden. Kein Wort über die Positionen des IGH (Internationaler Gerichtshof), oder</w:t>
      </w:r>
      <w:r>
        <w:rPr>
          <w:rFonts w:ascii="Tahoma" w:hAnsi="Tahoma" w:cs="Tahoma"/>
          <w:sz w:val="22"/>
          <w:szCs w:val="22"/>
        </w:rPr>
        <w:t xml:space="preserve"> </w:t>
      </w:r>
      <w:r w:rsidRPr="008A19CD">
        <w:rPr>
          <w:rFonts w:ascii="Tahoma" w:hAnsi="Tahoma" w:cs="Tahoma"/>
          <w:sz w:val="22"/>
          <w:szCs w:val="22"/>
        </w:rPr>
        <w:t>anerkannter Menschenrechtsorganisationen wie Amnesty International und andere zur aktuellen</w:t>
      </w:r>
      <w:r>
        <w:rPr>
          <w:rFonts w:ascii="Tahoma" w:hAnsi="Tahoma" w:cs="Tahoma"/>
          <w:sz w:val="22"/>
          <w:szCs w:val="22"/>
        </w:rPr>
        <w:t xml:space="preserve"> </w:t>
      </w:r>
      <w:r w:rsidRPr="008A19CD">
        <w:rPr>
          <w:rFonts w:ascii="Tahoma" w:hAnsi="Tahoma" w:cs="Tahoma"/>
          <w:sz w:val="22"/>
          <w:szCs w:val="22"/>
        </w:rPr>
        <w:t>Situation und zur Geschichte Palästinas.</w:t>
      </w:r>
    </w:p>
    <w:p w14:paraId="17875F1C" w14:textId="77777777" w:rsidR="008A19CD" w:rsidRDefault="008A19CD" w:rsidP="008A19CD">
      <w:pPr>
        <w:rPr>
          <w:rFonts w:ascii="Tahoma" w:hAnsi="Tahoma" w:cs="Tahoma"/>
          <w:sz w:val="22"/>
          <w:szCs w:val="22"/>
        </w:rPr>
      </w:pPr>
    </w:p>
    <w:p w14:paraId="76F23DD7" w14:textId="01447AB0" w:rsidR="00B30312" w:rsidRDefault="008A19CD" w:rsidP="008A19CD">
      <w:pPr>
        <w:rPr>
          <w:rFonts w:ascii="Tahoma" w:hAnsi="Tahoma" w:cs="Tahoma"/>
          <w:sz w:val="22"/>
          <w:szCs w:val="22"/>
        </w:rPr>
      </w:pPr>
      <w:r w:rsidRPr="008A19CD">
        <w:rPr>
          <w:rFonts w:ascii="Tahoma" w:hAnsi="Tahoma" w:cs="Tahoma"/>
          <w:sz w:val="22"/>
          <w:szCs w:val="22"/>
        </w:rPr>
        <w:t xml:space="preserve">So wie dieser Beitrag im </w:t>
      </w:r>
      <w:r>
        <w:rPr>
          <w:rFonts w:ascii="Tahoma" w:hAnsi="Tahoma" w:cs="Tahoma"/>
          <w:sz w:val="22"/>
          <w:szCs w:val="22"/>
        </w:rPr>
        <w:t>10</w:t>
      </w:r>
      <w:r w:rsidRPr="008A19CD">
        <w:rPr>
          <w:rFonts w:ascii="Tahoma" w:hAnsi="Tahoma" w:cs="Tahoma"/>
          <w:sz w:val="22"/>
          <w:szCs w:val="22"/>
        </w:rPr>
        <w:t>vor10 dargestellt wurde, empfinden wir die Berichterstattung als sehr einseitig.</w:t>
      </w:r>
      <w:r>
        <w:rPr>
          <w:rFonts w:ascii="Tahoma" w:hAnsi="Tahoma" w:cs="Tahoma"/>
          <w:sz w:val="22"/>
          <w:szCs w:val="22"/>
        </w:rPr>
        <w:t xml:space="preserve"> </w:t>
      </w:r>
      <w:r w:rsidRPr="008A19CD">
        <w:rPr>
          <w:rFonts w:ascii="Tahoma" w:hAnsi="Tahoma" w:cs="Tahoma"/>
          <w:sz w:val="22"/>
          <w:szCs w:val="22"/>
        </w:rPr>
        <w:t>Das Verschweigen historischer Tatsachen ist diskriminierend- und verharmlosend gegenüber der</w:t>
      </w:r>
      <w:r>
        <w:rPr>
          <w:rFonts w:ascii="Tahoma" w:hAnsi="Tahoma" w:cs="Tahoma"/>
          <w:sz w:val="22"/>
          <w:szCs w:val="22"/>
        </w:rPr>
        <w:t xml:space="preserve"> </w:t>
      </w:r>
      <w:r w:rsidRPr="008A19CD">
        <w:rPr>
          <w:rFonts w:ascii="Tahoma" w:hAnsi="Tahoma" w:cs="Tahoma"/>
          <w:sz w:val="22"/>
          <w:szCs w:val="22"/>
        </w:rPr>
        <w:t>palästinensischen Bevölkerung und kann als Verstoss gegen das RTVG, Art. 4 gewichtet werden.</w:t>
      </w:r>
    </w:p>
    <w:p w14:paraId="54D18964" w14:textId="77777777" w:rsidR="008A19CD" w:rsidRDefault="008A19CD" w:rsidP="008A19CD">
      <w:pPr>
        <w:rPr>
          <w:rFonts w:ascii="Tahoma" w:hAnsi="Tahoma" w:cs="Tahoma"/>
          <w:sz w:val="22"/>
          <w:szCs w:val="22"/>
        </w:rPr>
      </w:pPr>
    </w:p>
    <w:p w14:paraId="19B71A1D" w14:textId="1185DD73" w:rsidR="008A19CD" w:rsidRDefault="008A19CD" w:rsidP="008A19C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t>
      </w:r>
    </w:p>
    <w:p w14:paraId="5E3E3819" w14:textId="77777777" w:rsidR="008A19CD" w:rsidRDefault="008A19CD" w:rsidP="008A19CD">
      <w:pPr>
        <w:rPr>
          <w:rFonts w:ascii="Tahoma" w:hAnsi="Tahoma" w:cs="Tahoma"/>
          <w:sz w:val="22"/>
          <w:szCs w:val="22"/>
        </w:rPr>
      </w:pPr>
    </w:p>
    <w:p w14:paraId="1CB46283" w14:textId="77777777" w:rsidR="008A19CD" w:rsidRPr="008A19CD" w:rsidRDefault="008A19CD" w:rsidP="008A19CD">
      <w:pPr>
        <w:rPr>
          <w:rFonts w:ascii="Tahoma" w:hAnsi="Tahoma" w:cs="Tahoma"/>
          <w:sz w:val="22"/>
          <w:szCs w:val="22"/>
        </w:rPr>
      </w:pPr>
    </w:p>
    <w:p w14:paraId="6B569061" w14:textId="77777777" w:rsidR="00B30312" w:rsidRDefault="00B30312" w:rsidP="008907E4">
      <w:pPr>
        <w:rPr>
          <w:rFonts w:ascii="Tahoma" w:hAnsi="Tahoma" w:cs="Tahoma"/>
          <w:b/>
          <w:bCs/>
          <w:sz w:val="22"/>
          <w:szCs w:val="22"/>
        </w:rPr>
      </w:pPr>
    </w:p>
    <w:p w14:paraId="4C1FA306" w14:textId="77777777" w:rsidR="008A19CD" w:rsidRDefault="008A19CD" w:rsidP="008907E4">
      <w:pPr>
        <w:rPr>
          <w:rFonts w:ascii="Tahoma" w:hAnsi="Tahoma" w:cs="Tahoma"/>
          <w:b/>
          <w:bCs/>
          <w:sz w:val="22"/>
          <w:szCs w:val="22"/>
        </w:rPr>
      </w:pPr>
    </w:p>
    <w:p w14:paraId="351F3EFC" w14:textId="77777777" w:rsidR="008A19CD" w:rsidRDefault="008A19CD" w:rsidP="008907E4">
      <w:pPr>
        <w:rPr>
          <w:rFonts w:ascii="Tahoma" w:hAnsi="Tahoma" w:cs="Tahoma"/>
          <w:b/>
          <w:bCs/>
          <w:sz w:val="22"/>
          <w:szCs w:val="22"/>
        </w:rPr>
      </w:pPr>
    </w:p>
    <w:p w14:paraId="04600994" w14:textId="77777777" w:rsidR="008A19CD" w:rsidRDefault="008A19CD" w:rsidP="008907E4">
      <w:pPr>
        <w:rPr>
          <w:rFonts w:ascii="Tahoma" w:hAnsi="Tahoma" w:cs="Tahoma"/>
          <w:b/>
          <w:bCs/>
          <w:sz w:val="22"/>
          <w:szCs w:val="22"/>
        </w:rPr>
      </w:pPr>
    </w:p>
    <w:p w14:paraId="2F344137" w14:textId="77777777" w:rsidR="008A19CD" w:rsidRDefault="008A19CD" w:rsidP="008907E4">
      <w:pPr>
        <w:rPr>
          <w:rFonts w:ascii="Tahoma" w:hAnsi="Tahoma" w:cs="Tahoma"/>
          <w:b/>
          <w:bCs/>
          <w:sz w:val="22"/>
          <w:szCs w:val="22"/>
        </w:rPr>
      </w:pPr>
    </w:p>
    <w:p w14:paraId="3CBA11AC" w14:textId="463B486E" w:rsidR="00D91377" w:rsidRDefault="00D91377" w:rsidP="008907E4">
      <w:pPr>
        <w:rPr>
          <w:rFonts w:ascii="Tahoma" w:hAnsi="Tahoma" w:cs="Tahoma"/>
          <w:sz w:val="22"/>
          <w:szCs w:val="22"/>
        </w:rPr>
      </w:pPr>
      <w:r w:rsidRPr="00D91377">
        <w:rPr>
          <w:rFonts w:ascii="Tahoma" w:hAnsi="Tahoma" w:cs="Tahoma"/>
          <w:b/>
          <w:bCs/>
          <w:sz w:val="22"/>
          <w:szCs w:val="22"/>
        </w:rPr>
        <w:lastRenderedPageBreak/>
        <w:t>Die Redaktion</w:t>
      </w:r>
      <w:r w:rsidRPr="00D91377">
        <w:rPr>
          <w:rFonts w:ascii="Tahoma" w:hAnsi="Tahoma" w:cs="Tahoma"/>
          <w:sz w:val="22"/>
          <w:szCs w:val="22"/>
        </w:rPr>
        <w:t xml:space="preserve"> nimmt wie folgt Stellung:</w:t>
      </w:r>
    </w:p>
    <w:p w14:paraId="36E4A6B8" w14:textId="77777777" w:rsidR="008A19CD" w:rsidRPr="00D91377" w:rsidRDefault="008A19CD" w:rsidP="008907E4">
      <w:pPr>
        <w:rPr>
          <w:rFonts w:ascii="Tahoma" w:hAnsi="Tahoma" w:cs="Tahoma"/>
          <w:sz w:val="22"/>
          <w:szCs w:val="22"/>
        </w:rPr>
      </w:pPr>
    </w:p>
    <w:p w14:paraId="60913D9E"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u w:val="single"/>
        </w:rPr>
        <w:t>Fokus des Beitrages</w:t>
      </w:r>
    </w:p>
    <w:p w14:paraId="3EF5C4C5"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 xml:space="preserve">Anlass für den Beitrag ist die Ankündigung des französischen Präsidenten Emmanuel Macron, Palästina als Staat anzuerkennen. Er werde diese feierliche Erklärung vor der Generalversammlung der Vereinten Nationen im kommenden September abgeben. </w:t>
      </w:r>
    </w:p>
    <w:p w14:paraId="758A8265"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Die Reaktionen auf diese Ankündigung Frankreichs waren voraussehbar. Während Israel und die USA den Schritt mit scharfen Worten kritisierten und als Kniefall vor dem Terrorismus verurteilten, begrüssten arabische Staaten diese Ankündigung.</w:t>
      </w:r>
    </w:p>
    <w:p w14:paraId="5DB94BCF"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Das Newsmagazin 10 vor 10 hat die Aufgabe, hinter die Schlagzeilen zu blicken und Hintergründe zu vermitteln. Daher hat sich die Redaktion entschieden, die angekündigte Anerkennung eines Staates Palästina in einem Beitrag mit einem ausgewiesenen Völkerrechtler zu vertiefen.</w:t>
      </w:r>
    </w:p>
    <w:p w14:paraId="289E2C6D"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Ausgangspunkt ist die gängige Theorie, wonach ein Staat über drei Elemente verfügen müsse - Staatsvolk, Staatsgebiet und Staatsgewalt. Auf diese 3-Elemente-Lehre bezieht sich auch das Eidgenössische Departement für auswärtige Angelegenheiten EDA.</w:t>
      </w:r>
    </w:p>
    <w:p w14:paraId="571B1E79" w14:textId="77777777" w:rsidR="00D91377" w:rsidRPr="00D91377" w:rsidRDefault="00D91377" w:rsidP="00D91377">
      <w:pPr>
        <w:rPr>
          <w:rFonts w:ascii="Tahoma" w:eastAsia="Aptos" w:hAnsi="Tahoma" w:cs="Tahoma"/>
          <w:color w:val="0070C0"/>
          <w:sz w:val="22"/>
          <w:szCs w:val="22"/>
        </w:rPr>
      </w:pPr>
      <w:hyperlink r:id="rId11">
        <w:r w:rsidRPr="00D91377">
          <w:rPr>
            <w:rStyle w:val="Hyperlink"/>
            <w:rFonts w:ascii="Tahoma" w:eastAsia="Aptos" w:hAnsi="Tahoma" w:cs="Tahoma"/>
            <w:color w:val="0070C0"/>
            <w:sz w:val="22"/>
            <w:szCs w:val="22"/>
          </w:rPr>
          <w:t>file:///C:/Users/Franz/Downloads/voelkerrechtliche-anerkennung-staaten-regierungen_DE.pdf</w:t>
        </w:r>
      </w:hyperlink>
    </w:p>
    <w:p w14:paraId="466CEFBC"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 xml:space="preserve">Auf diese Lehre wird im Beitrag Bezug genommen; entlang dieser Linie wird die aktuelle Situation mit Blick auf einen Staat Palästina mit dem Völkerrechtler analysiert und vertieft. </w:t>
      </w:r>
    </w:p>
    <w:p w14:paraId="5C35C8BA" w14:textId="77777777" w:rsidR="00D91377" w:rsidRPr="00D91377" w:rsidRDefault="00D91377" w:rsidP="00D91377">
      <w:pPr>
        <w:rPr>
          <w:rFonts w:ascii="Tahoma" w:eastAsia="Aptos" w:hAnsi="Tahoma" w:cs="Tahoma"/>
          <w:color w:val="000000" w:themeColor="text1"/>
          <w:sz w:val="22"/>
          <w:szCs w:val="22"/>
        </w:rPr>
      </w:pPr>
    </w:p>
    <w:p w14:paraId="166261B6"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u w:val="single"/>
        </w:rPr>
        <w:t>Staatsvolk</w:t>
      </w:r>
    </w:p>
    <w:p w14:paraId="574B4A4C"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Die Formulierung “Ethnie, entstanden aus arabischen Völkern, die seit Langem im Nahen Osten leben”, basiert auf einem Hintergrundgespräch mit dem Islamwissenschaftler Reinhard Schulze. Diese Formulierung wird dem Umstand gerecht, dass sich der Begriff Palästinenser erst unter der britischen Mandatszeit nach der Kriegsniederlage und dem Zusammenbruch des Osmanischen Reiches (1918/1919) etablierte.</w:t>
      </w:r>
    </w:p>
    <w:p w14:paraId="7E6E34E0"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Im Beitrag wird klar gesagt, dass diese arabische Bevölkerung (Muslime, Christen) schon lange dieses Gebiet besiedelt hat. Eine weit in die Vergangenheit zurückreichende Besiedlung der Vorfahren der heutigen Palästinenser wurde in keiner Weise abgesprochen oder verwischt, sondern im Gegenteil festgestellt. Da die erwähnten arabischen Völker und Stämme eine komplexe Herkunft und Geschichte in der Region haben, wurde auf eine genaue Datierung verzichtet.</w:t>
      </w:r>
    </w:p>
    <w:p w14:paraId="64EF6B76"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 xml:space="preserve">Ebenso wird gesagt, dass in diesem Gebiet auch Menschen jüdischen Glaubens ebenfalls seit langem lebten. Das Wort “auch” insinuiert, legt also nahe, dass die Juden nicht alleine in diesem Gebiet lebten. </w:t>
      </w:r>
    </w:p>
    <w:p w14:paraId="4FFA71E5"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Der Beitrag sagt lediglich, dass Menschen mit unterschiedlichen Wurzeln im Mandatsgebiet Palästina und damit in der Region, die für eine Zweistaaten-Lösung relevant ist, seit Jahrhunderten lebten und leben. Der Beitrag nimmt entgegen dem Schreiben der Beanstanderin keine Zuschreibung eines Status oder eines Vorrechtes vor. Daher können wir dem Begriff “indigen” (für welche Bevölkerungsgruppe auch immer) keinen relevanten Sinn abgewinnen.</w:t>
      </w:r>
    </w:p>
    <w:p w14:paraId="55F04AD6"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Wir weisen weiter darauf hin, dass beim Punkt “Staatsvolk” eruiert wurde, ob für eine Staatsdefinition von Palästina ein dazugehöriges Volk identifiziert werden kann, angelehnt an den Staatsbegriff der Montevideo-Konvention von 1933/34.</w:t>
      </w:r>
    </w:p>
    <w:p w14:paraId="7E73DC1D" w14:textId="77777777" w:rsidR="00D91377" w:rsidRPr="00D91377" w:rsidRDefault="00D91377" w:rsidP="00D91377">
      <w:pPr>
        <w:rPr>
          <w:rFonts w:ascii="Tahoma" w:eastAsia="Aptos" w:hAnsi="Tahoma" w:cs="Tahoma"/>
          <w:color w:val="0070C0"/>
          <w:sz w:val="22"/>
          <w:szCs w:val="22"/>
        </w:rPr>
      </w:pPr>
      <w:hyperlink r:id="rId12">
        <w:r w:rsidRPr="00D91377">
          <w:rPr>
            <w:rStyle w:val="Hyperlink"/>
            <w:rFonts w:ascii="Tahoma" w:eastAsia="Aptos" w:hAnsi="Tahoma" w:cs="Tahoma"/>
            <w:color w:val="0070C0"/>
            <w:sz w:val="22"/>
            <w:szCs w:val="22"/>
          </w:rPr>
          <w:t>https://www.ilsa.org/Jessup/Jessup15/Montevideo%20Convention.pdf</w:t>
        </w:r>
      </w:hyperlink>
    </w:p>
    <w:p w14:paraId="3DD045B6"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In Artikel 1 werden die Voraussetzungen für einen Staat als Rechtsperson des Völkerrechts aufgeführt, unter anderem eine “permanent population”. Im Beitrag wurde deutlich gemacht, dass diese Voraussetzung für einen eigenständigen palästinensischen Staat erfüllt sind. Dies sei weitgehend “unumstritten”.</w:t>
      </w:r>
    </w:p>
    <w:p w14:paraId="7A0F36A6" w14:textId="77777777" w:rsidR="00D91377" w:rsidRPr="00D91377" w:rsidRDefault="00D91377" w:rsidP="00D91377">
      <w:pPr>
        <w:rPr>
          <w:rFonts w:ascii="Tahoma" w:eastAsia="Aptos" w:hAnsi="Tahoma" w:cs="Tahoma"/>
          <w:color w:val="000000" w:themeColor="text1"/>
          <w:sz w:val="22"/>
          <w:szCs w:val="22"/>
        </w:rPr>
      </w:pPr>
    </w:p>
    <w:p w14:paraId="34B06ED9"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u w:val="single"/>
        </w:rPr>
        <w:t>Staatsgebiet</w:t>
      </w:r>
    </w:p>
    <w:p w14:paraId="6F994E13" w14:textId="7DE5DDAC"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Der Bericht erläutert, dass die zweite Voraussetzung, nämlich das Staatsgebiet, in der politischen Diskussion und Auseinandersetzung umstritten ist. Das Mandatsgebiet Grossbritanniens nach dem Ende des Osmanischen Reiches, also Palästina, umfasste all jene Gebiete, aus denen später der Staat Israel hervorging, au</w:t>
      </w:r>
      <w:r w:rsidR="005C4118">
        <w:rPr>
          <w:rFonts w:ascii="Tahoma" w:eastAsia="Aptos" w:hAnsi="Tahoma" w:cs="Tahoma"/>
          <w:color w:val="000000" w:themeColor="text1"/>
          <w:sz w:val="22"/>
          <w:szCs w:val="22"/>
        </w:rPr>
        <w:t>ss</w:t>
      </w:r>
      <w:r w:rsidRPr="00D91377">
        <w:rPr>
          <w:rFonts w:ascii="Tahoma" w:eastAsia="Aptos" w:hAnsi="Tahoma" w:cs="Tahoma"/>
          <w:color w:val="000000" w:themeColor="text1"/>
          <w:sz w:val="22"/>
          <w:szCs w:val="22"/>
        </w:rPr>
        <w:t>erdem den Gazastreifen, das Westjordanland, Teile der Golanhöhen sowie das Königreich Transjordanien.</w:t>
      </w:r>
    </w:p>
    <w:p w14:paraId="67552789"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 xml:space="preserve">Im Beitrag heisst es, dass viele Palästinenser eine Region beanspruchen würden, die sie aufgrund der historischen Besiedlung als vom Fluss Jordan bis zum Mittelmeer reichend sehen. So haben es auch die allermeisten arabischen Staaten gesehen, welche den Teilungsplan der UNO von 1947 ablehnten und den neu gegründeten Staat Israel nicht anerkannten. Es folgten mehrere Kriege (1947/48/49, 1956, 1967 und 1973). </w:t>
      </w:r>
    </w:p>
    <w:p w14:paraId="48DA9DB1"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Im Zusammenhang mit der Frage des Staatsgebietes sind zwei Ereignisse von Bedeutung: Erstens: im Sechs-Tage-Krieg von 1967 eroberte Israel den Gazastreifen und das Westjordanland mit dem Ostteil der Stadt Jerusalem; also alle Gebiete, die im Zusammenhang mit einem Staatsgebiet für die Palästinenser relevant sind. Zweitens: im Oslo-Friedensprozess wird ein Grossteil des von Israel seit 1967 besetzten Gebietes für einen palästinensischen Staat erwähnt. Dieser Friedensprozess scheiterte an extremistischen Forderungen beider Seiten, wie der Beitrag sachlich festhält. Der Beitrag macht dann eine klare Aussage zum Staatsgebiet des palästinensischen Staates (TC 09:54) “Trotzdem dienen das Westjordanland, Gaza und Ostjerusalem seither als geografische Orientierungshilfe für eine mögliche Zweistaatenlösung.” Diese Sicht bestätigt auch der Völkerrechtler, wenn er sagt, dass eine Anerkennung des Staates Palästina die Anerkennung dieser drei Gebiete als Staatsgebiet gemeint sei.</w:t>
      </w:r>
    </w:p>
    <w:p w14:paraId="05E070DC"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Im Gegensatz zur Ansicht der Beanstanderin werden aus unserer Sicht, die legitimen Forderungen” der Palästinenser nicht als Bedrohung dargestellt. Im Beitrag wird explizit (TC 09:20) von “Jahrzehnten der Kriege, Vertreibung, des Terrors und der Grenzverschiebungen” gesprochen. Es ist richtig, im Beitrag werden nicht alle Aspekte des Konflikts dargestellt. Die Situation im Westjordanland, insbesondere der Ausbau israelischer Siedlungen, ist aber immer wieder Thema bei SRF, Wir verweisen auf den aktuellen Newsticker zu Nahost, mit aktuellen Beispielen. Es wird über die Siedlungspläne des israelischen Ministers Bezalel Smotrich berichtet</w:t>
      </w:r>
    </w:p>
    <w:p w14:paraId="0E566E6F" w14:textId="77777777" w:rsidR="00D91377" w:rsidRPr="00D91377" w:rsidRDefault="00D91377" w:rsidP="00D91377">
      <w:pPr>
        <w:rPr>
          <w:rFonts w:ascii="Tahoma" w:eastAsia="Aptos" w:hAnsi="Tahoma" w:cs="Tahoma"/>
          <w:color w:val="0070C0"/>
          <w:sz w:val="22"/>
          <w:szCs w:val="22"/>
        </w:rPr>
      </w:pPr>
      <w:hyperlink r:id="rId13">
        <w:r w:rsidRPr="00D91377">
          <w:rPr>
            <w:rStyle w:val="Hyperlink"/>
            <w:rFonts w:ascii="Tahoma" w:eastAsia="Aptos" w:hAnsi="Tahoma" w:cs="Tahoma"/>
            <w:color w:val="0070C0"/>
            <w:sz w:val="22"/>
            <w:szCs w:val="22"/>
          </w:rPr>
          <w:t>https://www.srf.ch/news/international/nahost/die-lage-im-ueberblick-krieg-im-nahen-osten-das-passiert-aktuell-22</w:t>
        </w:r>
      </w:hyperlink>
    </w:p>
    <w:p w14:paraId="24D748E1"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Oder der Angriff auf eine Saatgutbank in der Westbank wird thematisiert.</w:t>
      </w:r>
    </w:p>
    <w:p w14:paraId="7213AE2F" w14:textId="77777777" w:rsidR="00D91377" w:rsidRPr="00D91377" w:rsidRDefault="00D91377" w:rsidP="00D91377">
      <w:pPr>
        <w:rPr>
          <w:rFonts w:ascii="Tahoma" w:eastAsia="Aptos" w:hAnsi="Tahoma" w:cs="Tahoma"/>
          <w:color w:val="0070C0"/>
          <w:sz w:val="22"/>
          <w:szCs w:val="22"/>
        </w:rPr>
      </w:pPr>
      <w:hyperlink r:id="rId14">
        <w:r w:rsidRPr="00D91377">
          <w:rPr>
            <w:rStyle w:val="Hyperlink"/>
            <w:rFonts w:ascii="Tahoma" w:eastAsia="Aptos" w:hAnsi="Tahoma" w:cs="Tahoma"/>
            <w:color w:val="0070C0"/>
            <w:sz w:val="22"/>
            <w:szCs w:val="22"/>
          </w:rPr>
          <w:t>https://www.srf.ch/news/international/lebensmittel-im-nahen-osten-israels-armee-zerstoert-palaestinensische-saatgutbank</w:t>
        </w:r>
      </w:hyperlink>
    </w:p>
    <w:p w14:paraId="3ACA760F" w14:textId="77777777" w:rsidR="008A19CD" w:rsidRDefault="008A19CD" w:rsidP="00D91377">
      <w:pPr>
        <w:rPr>
          <w:rFonts w:ascii="Tahoma" w:eastAsia="Aptos" w:hAnsi="Tahoma" w:cs="Tahoma"/>
          <w:color w:val="000000" w:themeColor="text1"/>
          <w:sz w:val="22"/>
          <w:szCs w:val="22"/>
        </w:rPr>
      </w:pPr>
    </w:p>
    <w:p w14:paraId="5ADA127B" w14:textId="77777777" w:rsidR="008A19CD" w:rsidRDefault="008A19CD" w:rsidP="00D91377">
      <w:pPr>
        <w:rPr>
          <w:rFonts w:ascii="Tahoma" w:eastAsia="Aptos" w:hAnsi="Tahoma" w:cs="Tahoma"/>
          <w:color w:val="000000" w:themeColor="text1"/>
          <w:sz w:val="22"/>
          <w:szCs w:val="22"/>
        </w:rPr>
      </w:pPr>
    </w:p>
    <w:p w14:paraId="780E4818" w14:textId="0420012F"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lastRenderedPageBreak/>
        <w:t>Wir verweisen weitern auf einen Beitrag in der Sendung 10vor10 vom 29. Juli 2025, in dem der wachsende Einfluss der Siedler-Bewegung in Israel thematisiert wird (TC 08:25). In diesem Beitrag wird die Schaffung von neuen Siedlungen in der Westbank als völkerrechtwidrig bezeichnet.</w:t>
      </w:r>
    </w:p>
    <w:p w14:paraId="56F0A6D8" w14:textId="77777777" w:rsidR="00D91377" w:rsidRPr="00D91377" w:rsidRDefault="00D91377" w:rsidP="00D91377">
      <w:pPr>
        <w:rPr>
          <w:rFonts w:ascii="Tahoma" w:eastAsia="Aptos" w:hAnsi="Tahoma" w:cs="Tahoma"/>
          <w:color w:val="0070C0"/>
          <w:sz w:val="22"/>
          <w:szCs w:val="22"/>
        </w:rPr>
      </w:pPr>
      <w:hyperlink r:id="rId15">
        <w:r w:rsidRPr="00D91377">
          <w:rPr>
            <w:rStyle w:val="Hyperlink"/>
            <w:rFonts w:ascii="Tahoma" w:eastAsia="Aptos" w:hAnsi="Tahoma" w:cs="Tahoma"/>
            <w:color w:val="0070C0"/>
            <w:sz w:val="22"/>
            <w:szCs w:val="22"/>
          </w:rPr>
          <w:t>10 vor 10 vom 29.07.2025 - Play SRF</w:t>
        </w:r>
      </w:hyperlink>
    </w:p>
    <w:p w14:paraId="693D9C7C"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Wir verweisen weiter auf einen Bericht in der Sendung 10vor10 vom 26. Juni 2025, in dem der Konflikt im Westjordanland breit thematisiert wird (TC  05:19)</w:t>
      </w:r>
    </w:p>
    <w:p w14:paraId="7BA93016" w14:textId="77777777" w:rsidR="00D91377" w:rsidRPr="00D91377" w:rsidRDefault="00D91377" w:rsidP="00D91377">
      <w:pPr>
        <w:rPr>
          <w:rFonts w:ascii="Tahoma" w:eastAsia="Aptos" w:hAnsi="Tahoma" w:cs="Tahoma"/>
          <w:color w:val="0070C0"/>
          <w:sz w:val="22"/>
          <w:szCs w:val="22"/>
        </w:rPr>
      </w:pPr>
      <w:hyperlink r:id="rId16">
        <w:r w:rsidRPr="00D91377">
          <w:rPr>
            <w:rStyle w:val="Hyperlink"/>
            <w:rFonts w:ascii="Tahoma" w:eastAsia="Aptos" w:hAnsi="Tahoma" w:cs="Tahoma"/>
            <w:color w:val="0070C0"/>
            <w:sz w:val="22"/>
            <w:szCs w:val="22"/>
          </w:rPr>
          <w:t>10 vor 10 vom 26.06.2025 - Play SRF</w:t>
        </w:r>
      </w:hyperlink>
    </w:p>
    <w:p w14:paraId="2CA84F3D" w14:textId="77777777" w:rsidR="00D91377" w:rsidRPr="00D91377" w:rsidRDefault="00D91377" w:rsidP="00D91377">
      <w:pPr>
        <w:rPr>
          <w:rFonts w:ascii="Tahoma" w:eastAsia="Aptos" w:hAnsi="Tahoma" w:cs="Tahoma"/>
          <w:color w:val="000000" w:themeColor="text1"/>
          <w:sz w:val="22"/>
          <w:szCs w:val="22"/>
        </w:rPr>
      </w:pPr>
    </w:p>
    <w:p w14:paraId="4FF4A349"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u w:val="single"/>
        </w:rPr>
        <w:t>Staatsgewalt</w:t>
      </w:r>
    </w:p>
    <w:p w14:paraId="77291656"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Im Abschnitt über das dritte Element der staatlichen Souveränität, der Staatsgewalt, beleuchtet der Beitrag die innerpalästinensischen staatlichen Strukturen.  Der Beitrag berichtet über die Fakten seit den letzten Wahlen vor 20 Jahren.  Er macht aber auch klar, dass der Aufbau palästinensischer staatlicher Strukturen von Israel beeinträchtigt wird (TC 10.55), wörtlich: “Zudem machten ihr die israelischen Besatzer das Gewaltmonopol immer strittiger.”  Die Staatsgewalt als Voraussetzung für die Realisierung eines Staates Palästina wird von der Besatzungsmacht immer stärker in Frage gestellt; bis hin zur Ankündigung, eine Zweistaatenlösung definitiv zu verhindern.</w:t>
      </w:r>
    </w:p>
    <w:p w14:paraId="7E4AD3E1" w14:textId="77777777" w:rsidR="00D91377" w:rsidRPr="00D91377" w:rsidRDefault="00D91377" w:rsidP="00D91377">
      <w:pPr>
        <w:rPr>
          <w:rFonts w:ascii="Tahoma" w:eastAsia="Aptos" w:hAnsi="Tahoma" w:cs="Tahoma"/>
          <w:color w:val="000000" w:themeColor="text1"/>
          <w:sz w:val="22"/>
          <w:szCs w:val="22"/>
        </w:rPr>
      </w:pPr>
    </w:p>
    <w:p w14:paraId="17AF5BA6"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u w:val="single"/>
        </w:rPr>
        <w:t>Internationale Anerkennung</w:t>
      </w:r>
    </w:p>
    <w:p w14:paraId="3D5B9AFD"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Die Beanstanderin kritisiert die Formulierung, Frankreich sei das erste wichtige Land, das Palästina anerkenne. Sie verweist in diesem Zusammenhang auf Länder wie Spanien oder Schweden.</w:t>
      </w:r>
    </w:p>
    <w:p w14:paraId="7E55B1C6"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Über die Wichtigkeit einzelner Staaten innerhalb der Staatengemeinschaft kann man unterschiedlicher Ansicht sein. Wir verweisen aber auf folgende Fakten: Frankreich ist ständiges Mitglied des UNO-Sicherheitsrates (neben USA, Grossbritannien, Russland und China); es verfügt daher über ein Vetorecht im Sicherheitsrat. Frankreich ist Teil der G7, eines Zusammenschlusses führender Industrienationen, die sich regelmässig zu globalen Wirtschafts- und Krisenthemen austauschen.</w:t>
      </w:r>
    </w:p>
    <w:p w14:paraId="3891FF47" w14:textId="7675F8FB"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Die Formulierung, Frankreich sei “das erste mächtige westliche Land”, das Palästina als Staat anerkenne, ist aufgrund der obigen Fakten, belegt und gerechtfertigt. Die Formulierung ist aus unserer Sicht daher nicht “sachlich falsch”, wie die Beans</w:t>
      </w:r>
      <w:r w:rsidR="005C4118">
        <w:rPr>
          <w:rFonts w:ascii="Tahoma" w:eastAsia="Aptos" w:hAnsi="Tahoma" w:cs="Tahoma"/>
          <w:color w:val="000000" w:themeColor="text1"/>
          <w:sz w:val="22"/>
          <w:szCs w:val="22"/>
        </w:rPr>
        <w:t>t</w:t>
      </w:r>
      <w:r w:rsidRPr="00D91377">
        <w:rPr>
          <w:rFonts w:ascii="Tahoma" w:eastAsia="Aptos" w:hAnsi="Tahoma" w:cs="Tahoma"/>
          <w:color w:val="000000" w:themeColor="text1"/>
          <w:sz w:val="22"/>
          <w:szCs w:val="22"/>
        </w:rPr>
        <w:t>anderin kritisiert.</w:t>
      </w:r>
    </w:p>
    <w:p w14:paraId="53FB147E" w14:textId="77777777" w:rsidR="00D91377" w:rsidRPr="00D91377" w:rsidRDefault="00D91377" w:rsidP="00D91377">
      <w:pPr>
        <w:rPr>
          <w:rFonts w:ascii="Tahoma" w:eastAsia="Aptos" w:hAnsi="Tahoma" w:cs="Tahoma"/>
          <w:color w:val="000000" w:themeColor="text1"/>
          <w:sz w:val="22"/>
          <w:szCs w:val="22"/>
        </w:rPr>
      </w:pPr>
    </w:p>
    <w:p w14:paraId="624E0D79"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u w:val="single"/>
        </w:rPr>
        <w:t>Völkerrechtliche Einschätzungen</w:t>
      </w:r>
    </w:p>
    <w:p w14:paraId="6767C3C8"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Der Beitrag hat einen klaren Fokus, nämlich die Frage nach der Staatlichkeit Palästinas aus Anlass der angekündigten Anerkennung Palästinas als Staat durch Frankreich. Wie die Beanstanderin richtig feststellt, kann in einem 3-Minuten-Beitrag die ganze Komplexität des Nahostkonflikts nicht dargestellt werden.</w:t>
      </w:r>
    </w:p>
    <w:p w14:paraId="12CEADEB"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 xml:space="preserve">SRF hat in der Vergangenheit immer wieder über die Positionen des Internationalen Gerichtshofes oder die Einschätzungen von Nichtregierungsorganisationen berichtet. </w:t>
      </w:r>
    </w:p>
    <w:p w14:paraId="1DF2D72E"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 xml:space="preserve">Die Völkerrechtswidrigkeit des Siedlungsbaus ist immer wieder Thema (siehe Beispiele im Abschnitt “Staatsgebiet”). </w:t>
      </w:r>
    </w:p>
    <w:p w14:paraId="0835CC24" w14:textId="77777777" w:rsidR="00D91377" w:rsidRDefault="00D91377" w:rsidP="00D91377">
      <w:pPr>
        <w:rPr>
          <w:rFonts w:ascii="Tahoma" w:eastAsia="Aptos" w:hAnsi="Tahoma" w:cs="Tahoma"/>
          <w:color w:val="000000" w:themeColor="text1"/>
          <w:sz w:val="22"/>
          <w:szCs w:val="22"/>
        </w:rPr>
      </w:pPr>
    </w:p>
    <w:p w14:paraId="61563ACF" w14:textId="77777777" w:rsidR="008A19CD" w:rsidRPr="00D91377" w:rsidRDefault="008A19CD" w:rsidP="00D91377">
      <w:pPr>
        <w:rPr>
          <w:rFonts w:ascii="Tahoma" w:eastAsia="Aptos" w:hAnsi="Tahoma" w:cs="Tahoma"/>
          <w:color w:val="000000" w:themeColor="text1"/>
          <w:sz w:val="22"/>
          <w:szCs w:val="22"/>
        </w:rPr>
      </w:pPr>
    </w:p>
    <w:p w14:paraId="12E53F0C"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u w:val="single"/>
        </w:rPr>
        <w:lastRenderedPageBreak/>
        <w:t>Fazit</w:t>
      </w:r>
    </w:p>
    <w:p w14:paraId="7FB06B26"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 xml:space="preserve">Der Beitrag hat die Voraussetzungen für einen Staat Palästina anhand der völkerrechtlichen Voraussetzungen mit einem Völkerrechtler dargestellt und analysiert. Dabei wurden geschichtliche und politische Fakten sachlich einbezogen, insofern sie für die Fragegestellung von Relevanz sind. </w:t>
      </w:r>
    </w:p>
    <w:p w14:paraId="2E0B8F0F"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Wir lehnen den Vorwurf der Unausgewogenheit ab. Gleiches gilt für den Vorwurf, die palästinensische Perspektive für die Staatlichkeit delegitimiert zu haben.  Im Gegenteil, der Völkerrechtler spricht die Problematik der fehlenden Staatsgewalt an (TC 08:04): “Das heikle Element ist klar die effektive Staatsgewalt über ein bestimmtes Gebiet. Weil Israel grosse Teile der Westbank, Gaza ohnehin, beherrscht.”</w:t>
      </w:r>
    </w:p>
    <w:p w14:paraId="0C7C0ED7" w14:textId="77777777" w:rsidR="00D91377" w:rsidRPr="00D91377" w:rsidRDefault="00D91377" w:rsidP="00D91377">
      <w:pPr>
        <w:rPr>
          <w:rFonts w:ascii="Tahoma" w:eastAsia="Aptos" w:hAnsi="Tahoma" w:cs="Tahoma"/>
          <w:color w:val="000000" w:themeColor="text1"/>
          <w:sz w:val="22"/>
          <w:szCs w:val="22"/>
        </w:rPr>
      </w:pPr>
      <w:r w:rsidRPr="00D91377">
        <w:rPr>
          <w:rFonts w:ascii="Tahoma" w:eastAsia="Aptos" w:hAnsi="Tahoma" w:cs="Tahoma"/>
          <w:color w:val="000000" w:themeColor="text1"/>
          <w:sz w:val="22"/>
          <w:szCs w:val="22"/>
        </w:rPr>
        <w:t>Der Völkerrechtler begründet sachgerecht die fehlende Staatsgewalt der palästinensischen Behörden über das für einen Staat Palästina relevante Territorium. Es ging in diesem Beitrag nie um Schuld oder Nicht-Schuld.</w:t>
      </w:r>
    </w:p>
    <w:p w14:paraId="0E520029" w14:textId="77777777" w:rsidR="00D91377" w:rsidRPr="00D91377" w:rsidRDefault="00D91377" w:rsidP="00D91377">
      <w:pPr>
        <w:rPr>
          <w:rFonts w:ascii="Tahoma" w:eastAsia="Aptos" w:hAnsi="Tahoma" w:cs="Tahoma"/>
          <w:color w:val="000000" w:themeColor="text1"/>
          <w:sz w:val="22"/>
          <w:szCs w:val="22"/>
        </w:rPr>
      </w:pPr>
    </w:p>
    <w:p w14:paraId="3A28B7CF" w14:textId="06D72980" w:rsidR="00D91377" w:rsidRDefault="005C4118" w:rsidP="00D91377">
      <w:pPr>
        <w:rPr>
          <w:rFonts w:ascii="Tahoma" w:eastAsia="Aptos" w:hAnsi="Tahoma" w:cs="Tahoma"/>
          <w:color w:val="000000" w:themeColor="text1"/>
          <w:sz w:val="22"/>
          <w:szCs w:val="22"/>
        </w:rPr>
      </w:pPr>
      <w:r w:rsidRPr="00747C54">
        <w:rPr>
          <w:rFonts w:ascii="Tahoma" w:eastAsia="Aptos" w:hAnsi="Tahoma" w:cs="Tahoma"/>
          <w:b/>
          <w:bCs/>
          <w:color w:val="000000" w:themeColor="text1"/>
          <w:sz w:val="22"/>
          <w:szCs w:val="22"/>
        </w:rPr>
        <w:t>Die Ombudsstelle</w:t>
      </w:r>
      <w:r>
        <w:rPr>
          <w:rFonts w:ascii="Tahoma" w:eastAsia="Aptos" w:hAnsi="Tahoma" w:cs="Tahoma"/>
          <w:color w:val="000000" w:themeColor="text1"/>
          <w:sz w:val="22"/>
          <w:szCs w:val="22"/>
        </w:rPr>
        <w:t xml:space="preserve"> hält abschliessend fest:</w:t>
      </w:r>
    </w:p>
    <w:p w14:paraId="5B94BC29" w14:textId="77777777" w:rsidR="008A19CD" w:rsidRDefault="008A19CD" w:rsidP="00D91377">
      <w:pPr>
        <w:rPr>
          <w:rFonts w:ascii="Tahoma" w:eastAsia="Aptos" w:hAnsi="Tahoma" w:cs="Tahoma"/>
          <w:color w:val="000000" w:themeColor="text1"/>
          <w:sz w:val="22"/>
          <w:szCs w:val="22"/>
        </w:rPr>
      </w:pPr>
    </w:p>
    <w:p w14:paraId="1A5A4601" w14:textId="77777777" w:rsidR="005C4118" w:rsidRDefault="005C4118" w:rsidP="005C4118">
      <w:pPr>
        <w:rPr>
          <w:rFonts w:ascii="Tahoma" w:eastAsia="Aptos" w:hAnsi="Tahoma" w:cs="Tahoma"/>
          <w:color w:val="000000" w:themeColor="text1"/>
          <w:sz w:val="22"/>
          <w:szCs w:val="22"/>
        </w:rPr>
      </w:pPr>
      <w:r>
        <w:rPr>
          <w:rFonts w:ascii="Tahoma" w:eastAsia="Aptos" w:hAnsi="Tahoma" w:cs="Tahoma"/>
          <w:color w:val="000000" w:themeColor="text1"/>
          <w:sz w:val="22"/>
          <w:szCs w:val="22"/>
        </w:rPr>
        <w:t>Aufgrund der sehr ausführlichen redaktionellen Stellungnahme beschränken wir uns auf eine kurze Einschätzung der einzelnen kritisierten Punkte:</w:t>
      </w:r>
    </w:p>
    <w:p w14:paraId="743540E1" w14:textId="0EFEECD5" w:rsidR="005C4118" w:rsidRPr="005C4118" w:rsidRDefault="005C4118" w:rsidP="005C4118">
      <w:pPr>
        <w:rPr>
          <w:rFonts w:ascii="Tahoma" w:eastAsia="Aptos" w:hAnsi="Tahoma" w:cs="Tahoma"/>
          <w:color w:val="000000" w:themeColor="text1"/>
          <w:sz w:val="22"/>
          <w:szCs w:val="22"/>
        </w:rPr>
      </w:pPr>
    </w:p>
    <w:p w14:paraId="38C2C133" w14:textId="77777777" w:rsidR="000A7464" w:rsidRDefault="005C4118" w:rsidP="000A7464">
      <w:pPr>
        <w:pStyle w:val="Listenabsatz"/>
        <w:numPr>
          <w:ilvl w:val="0"/>
          <w:numId w:val="19"/>
        </w:numPr>
        <w:rPr>
          <w:rFonts w:ascii="Tahoma" w:eastAsia="Aptos" w:hAnsi="Tahoma" w:cs="Tahoma"/>
          <w:color w:val="000000" w:themeColor="text1"/>
          <w:sz w:val="22"/>
          <w:szCs w:val="22"/>
        </w:rPr>
      </w:pPr>
      <w:r w:rsidRPr="003E71CE">
        <w:rPr>
          <w:rFonts w:ascii="Tahoma" w:eastAsia="Aptos" w:hAnsi="Tahoma" w:cs="Tahoma"/>
          <w:color w:val="000000" w:themeColor="text1"/>
          <w:sz w:val="22"/>
          <w:szCs w:val="22"/>
        </w:rPr>
        <w:t xml:space="preserve">Während die </w:t>
      </w:r>
      <w:r w:rsidR="00CB5D3E">
        <w:rPr>
          <w:rFonts w:ascii="Tahoma" w:eastAsia="Aptos" w:hAnsi="Tahoma" w:cs="Tahoma"/>
          <w:color w:val="000000" w:themeColor="text1"/>
          <w:sz w:val="22"/>
          <w:szCs w:val="22"/>
        </w:rPr>
        <w:t>Beanstandenden</w:t>
      </w:r>
      <w:r w:rsidRPr="003E71CE">
        <w:rPr>
          <w:rFonts w:ascii="Tahoma" w:eastAsia="Aptos" w:hAnsi="Tahoma" w:cs="Tahoma"/>
          <w:color w:val="000000" w:themeColor="text1"/>
          <w:sz w:val="22"/>
          <w:szCs w:val="22"/>
        </w:rPr>
        <w:t xml:space="preserve"> kritisier</w:t>
      </w:r>
      <w:r w:rsidR="00CB5D3E">
        <w:rPr>
          <w:rFonts w:ascii="Tahoma" w:eastAsia="Aptos" w:hAnsi="Tahoma" w:cs="Tahoma"/>
          <w:color w:val="000000" w:themeColor="text1"/>
          <w:sz w:val="22"/>
          <w:szCs w:val="22"/>
        </w:rPr>
        <w:t>en</w:t>
      </w:r>
      <w:r w:rsidRPr="004D65CF">
        <w:rPr>
          <w:rFonts w:ascii="Tahoma" w:eastAsia="Aptos" w:hAnsi="Tahoma" w:cs="Tahoma"/>
          <w:color w:val="000000" w:themeColor="text1"/>
          <w:sz w:val="22"/>
          <w:szCs w:val="22"/>
        </w:rPr>
        <w:t>,</w:t>
      </w:r>
      <w:r w:rsidRPr="003E71CE">
        <w:rPr>
          <w:rFonts w:ascii="Tahoma" w:eastAsia="Aptos" w:hAnsi="Tahoma" w:cs="Tahoma"/>
          <w:b/>
          <w:bCs/>
          <w:color w:val="000000" w:themeColor="text1"/>
          <w:sz w:val="22"/>
          <w:szCs w:val="22"/>
        </w:rPr>
        <w:t xml:space="preserve"> </w:t>
      </w:r>
      <w:r w:rsidRPr="003E71CE">
        <w:rPr>
          <w:rFonts w:ascii="Tahoma" w:eastAsia="Aptos" w:hAnsi="Tahoma" w:cs="Tahoma"/>
          <w:color w:val="000000" w:themeColor="text1"/>
          <w:sz w:val="22"/>
          <w:szCs w:val="22"/>
        </w:rPr>
        <w:t xml:space="preserve">dass SRF wesentliche historische und völkerrechtliche Kontexte nicht </w:t>
      </w:r>
      <w:r w:rsidR="00747C54">
        <w:rPr>
          <w:rFonts w:ascii="Tahoma" w:eastAsia="Aptos" w:hAnsi="Tahoma" w:cs="Tahoma"/>
          <w:color w:val="000000" w:themeColor="text1"/>
          <w:sz w:val="22"/>
          <w:szCs w:val="22"/>
        </w:rPr>
        <w:t xml:space="preserve">dargestellt </w:t>
      </w:r>
      <w:r w:rsidR="00CB5D3E">
        <w:rPr>
          <w:rFonts w:ascii="Tahoma" w:eastAsia="Aptos" w:hAnsi="Tahoma" w:cs="Tahoma"/>
          <w:color w:val="000000" w:themeColor="text1"/>
          <w:sz w:val="22"/>
          <w:szCs w:val="22"/>
        </w:rPr>
        <w:t xml:space="preserve">habe </w:t>
      </w:r>
      <w:r w:rsidRPr="003E71CE">
        <w:rPr>
          <w:rFonts w:ascii="Tahoma" w:eastAsia="Aptos" w:hAnsi="Tahoma" w:cs="Tahoma"/>
          <w:color w:val="000000" w:themeColor="text1"/>
          <w:sz w:val="22"/>
          <w:szCs w:val="22"/>
        </w:rPr>
        <w:t>(z.B. U</w:t>
      </w:r>
      <w:r w:rsidR="00747C54">
        <w:rPr>
          <w:rFonts w:ascii="Tahoma" w:eastAsia="Aptos" w:hAnsi="Tahoma" w:cs="Tahoma"/>
          <w:color w:val="000000" w:themeColor="text1"/>
          <w:sz w:val="22"/>
          <w:szCs w:val="22"/>
        </w:rPr>
        <w:t>no</w:t>
      </w:r>
      <w:r w:rsidRPr="003E71CE">
        <w:rPr>
          <w:rFonts w:ascii="Tahoma" w:eastAsia="Aptos" w:hAnsi="Tahoma" w:cs="Tahoma"/>
          <w:color w:val="000000" w:themeColor="text1"/>
          <w:sz w:val="22"/>
          <w:szCs w:val="22"/>
        </w:rPr>
        <w:t>-Teilungsplan, Besatzung, Siedlungen, Apartheid-Einstufungen), betont die Redaktion, dass der Fokus bewusst eng gefasst wurde (</w:t>
      </w:r>
      <w:r w:rsidR="00947958">
        <w:rPr>
          <w:rFonts w:ascii="Tahoma" w:eastAsia="Aptos" w:hAnsi="Tahoma" w:cs="Tahoma"/>
          <w:color w:val="000000" w:themeColor="text1"/>
          <w:sz w:val="22"/>
          <w:szCs w:val="22"/>
        </w:rPr>
        <w:t>Drei</w:t>
      </w:r>
      <w:r w:rsidRPr="003E71CE">
        <w:rPr>
          <w:rFonts w:ascii="Tahoma" w:eastAsia="Aptos" w:hAnsi="Tahoma" w:cs="Tahoma"/>
          <w:color w:val="000000" w:themeColor="text1"/>
          <w:sz w:val="22"/>
          <w:szCs w:val="22"/>
        </w:rPr>
        <w:t>-Elemente-</w:t>
      </w:r>
      <w:r w:rsidR="00947958">
        <w:rPr>
          <w:rFonts w:ascii="Tahoma" w:eastAsia="Aptos" w:hAnsi="Tahoma" w:cs="Tahoma"/>
          <w:color w:val="000000" w:themeColor="text1"/>
          <w:sz w:val="22"/>
          <w:szCs w:val="22"/>
        </w:rPr>
        <w:t>Regel</w:t>
      </w:r>
      <w:r w:rsidRPr="003E71CE">
        <w:rPr>
          <w:rFonts w:ascii="Tahoma" w:eastAsia="Aptos" w:hAnsi="Tahoma" w:cs="Tahoma"/>
          <w:color w:val="000000" w:themeColor="text1"/>
          <w:sz w:val="22"/>
          <w:szCs w:val="22"/>
        </w:rPr>
        <w:t xml:space="preserve">, Staatlichkeit). </w:t>
      </w:r>
    </w:p>
    <w:p w14:paraId="05D783AB" w14:textId="620E9C6C" w:rsidR="000A7464" w:rsidRDefault="000A7464" w:rsidP="000A7464">
      <w:pPr>
        <w:pStyle w:val="Listenabsatz"/>
        <w:rPr>
          <w:rFonts w:ascii="Tahoma" w:eastAsia="Aptos" w:hAnsi="Tahoma" w:cs="Tahoma"/>
          <w:color w:val="000000" w:themeColor="text1"/>
          <w:sz w:val="22"/>
          <w:szCs w:val="22"/>
        </w:rPr>
      </w:pPr>
      <w:r w:rsidRPr="000A7464">
        <w:rPr>
          <w:rFonts w:ascii="Tahoma" w:eastAsia="Aptos" w:hAnsi="Tahoma" w:cs="Tahoma"/>
          <w:color w:val="000000" w:themeColor="text1"/>
          <w:sz w:val="22"/>
          <w:szCs w:val="22"/>
        </w:rPr>
        <w:t>T</w:t>
      </w:r>
      <w:r w:rsidR="00947958" w:rsidRPr="000A7464">
        <w:rPr>
          <w:rFonts w:ascii="Tahoma" w:eastAsia="Aptos" w:hAnsi="Tahoma" w:cs="Tahoma"/>
          <w:color w:val="000000" w:themeColor="text1"/>
          <w:sz w:val="22"/>
          <w:szCs w:val="22"/>
        </w:rPr>
        <w:t>rotz der Anerkennung Palästinas durch die Mehrheit der Uno-Mitgliedsstaaten bleibt der Status der palästinensischen Gebiete international umstritten, weil völkerrechtlich eben auf die Drei-Elemente-Regel abgestützt wird. Dieser international anerkannte Staatsbegriff beschreibt einen politisch und rechtlich organisierten Personenverband (Staatsvolk), der auf abgegrenzter Fläche (Staatsgebiet) einer Bevölkerung eine eigene Ordnung (Staatsgewalt) gibt. Auf dieser Definition fusst der Beitrag von «10vor10»</w:t>
      </w:r>
      <w:r w:rsidRPr="000A7464">
        <w:rPr>
          <w:rFonts w:ascii="Tahoma" w:eastAsia="Aptos" w:hAnsi="Tahoma" w:cs="Tahoma"/>
          <w:color w:val="000000" w:themeColor="text1"/>
          <w:sz w:val="22"/>
          <w:szCs w:val="22"/>
        </w:rPr>
        <w:t xml:space="preserve"> und erörtert die Drei-Elemente-Regel. Wobei vor allem auf das umstrittenste Kriterium der effektiven Staatsgewalt eingegangen wird: Unerheblich ist, ob es eine demokratisch legitimierte Regierung und Verwaltung gibt oder ein Staat irgendwann formal gegründet wurde. Entscheidend ist, ob ein Staat effektiv handeln kann. Zwar ist die Meinung verbreitet, im Westjordanland werde die Staatsgewalt grundsätzlich von der Autonomiebehörde und im Gazastreifen von der Hamas ausgeübt. Doch genügt das nach weit verbreiteter Meinung von Expertinnen und Experten im völkerrechtlichen Sinne nicht. Denn die staatliche Verwaltung in den palästinensischen Gebieten und vor allem die Kontrolle der Aussengrenzen hängt von Israel ab. Der Einfluss Israels ist so stark, dass eine effektive Staatsgewalt der Palästinenser unterm Strich </w:t>
      </w:r>
      <w:r w:rsidR="0059115B">
        <w:rPr>
          <w:rFonts w:ascii="Tahoma" w:eastAsia="Aptos" w:hAnsi="Tahoma" w:cs="Tahoma"/>
          <w:color w:val="000000" w:themeColor="text1"/>
          <w:sz w:val="22"/>
          <w:szCs w:val="22"/>
        </w:rPr>
        <w:t xml:space="preserve">effektiv </w:t>
      </w:r>
      <w:r w:rsidRPr="000A7464">
        <w:rPr>
          <w:rFonts w:ascii="Tahoma" w:eastAsia="Aptos" w:hAnsi="Tahoma" w:cs="Tahoma"/>
          <w:color w:val="000000" w:themeColor="text1"/>
          <w:sz w:val="22"/>
          <w:szCs w:val="22"/>
        </w:rPr>
        <w:t xml:space="preserve">nicht </w:t>
      </w:r>
      <w:r w:rsidR="0059115B">
        <w:rPr>
          <w:rFonts w:ascii="Tahoma" w:eastAsia="Aptos" w:hAnsi="Tahoma" w:cs="Tahoma"/>
          <w:color w:val="000000" w:themeColor="text1"/>
          <w:sz w:val="22"/>
          <w:szCs w:val="22"/>
        </w:rPr>
        <w:t xml:space="preserve">oder nur ausgesprochen beschränkt </w:t>
      </w:r>
      <w:r w:rsidRPr="000A7464">
        <w:rPr>
          <w:rFonts w:ascii="Tahoma" w:eastAsia="Aptos" w:hAnsi="Tahoma" w:cs="Tahoma"/>
          <w:color w:val="000000" w:themeColor="text1"/>
          <w:sz w:val="22"/>
          <w:szCs w:val="22"/>
        </w:rPr>
        <w:t xml:space="preserve">existiert. Auch wenn dieses dritte Element nicht erfüllt ist, wird diskutiert, ob Palästina auch ohne effektive Staatsgewalt ein Staat sein kann. Denn Israels Siedlungspolitik im Westjordanland wird seinerseits oft als völkerrechtswidrig bewertet. Zu diesem Schluss kommt etwa der Internationale Gerichtshof.  Dieser stellte in seinem Gutachten fest, dass die Siedlungspolitik gegen Völkerrecht </w:t>
      </w:r>
      <w:r w:rsidRPr="000A7464">
        <w:rPr>
          <w:rFonts w:ascii="Tahoma" w:eastAsia="Aptos" w:hAnsi="Tahoma" w:cs="Tahoma"/>
          <w:color w:val="000000" w:themeColor="text1"/>
          <w:sz w:val="22"/>
          <w:szCs w:val="22"/>
        </w:rPr>
        <w:lastRenderedPageBreak/>
        <w:t xml:space="preserve">verstosse und Israel damit Palästinenser-Gebiet annektiere. Israel müsse sich so schnell wie möglich zurückziehen. Gerichtlich durchsetzen kann der IGH das aber nicht. Daraus leiten Völkerrechtlerinnen und Völkerrechtler ab, dass die Palästinenser, die sich eigentlich gerne selbst verwalten würden, das gar nicht können. </w:t>
      </w:r>
    </w:p>
    <w:p w14:paraId="4C2516D3" w14:textId="77777777" w:rsidR="000A7464" w:rsidRDefault="000A7464" w:rsidP="000A7464">
      <w:pPr>
        <w:pStyle w:val="Listenabsatz"/>
        <w:rPr>
          <w:rFonts w:ascii="Tahoma" w:eastAsia="Aptos" w:hAnsi="Tahoma" w:cs="Tahoma"/>
          <w:color w:val="000000" w:themeColor="text1"/>
          <w:sz w:val="22"/>
          <w:szCs w:val="22"/>
        </w:rPr>
      </w:pPr>
    </w:p>
    <w:p w14:paraId="68D84C0A" w14:textId="0F7419D6" w:rsidR="000A7464" w:rsidRPr="000A7464" w:rsidRDefault="000A7464" w:rsidP="000A7464">
      <w:pPr>
        <w:pStyle w:val="Listenabsatz"/>
        <w:rPr>
          <w:rFonts w:ascii="Tahoma" w:eastAsia="Aptos" w:hAnsi="Tahoma" w:cs="Tahoma"/>
          <w:color w:val="000000" w:themeColor="text1"/>
          <w:sz w:val="22"/>
          <w:szCs w:val="22"/>
        </w:rPr>
      </w:pPr>
      <w:r>
        <w:rPr>
          <w:rFonts w:ascii="Tahoma" w:eastAsia="Aptos" w:hAnsi="Tahoma" w:cs="Tahoma"/>
          <w:color w:val="000000" w:themeColor="text1"/>
          <w:sz w:val="22"/>
          <w:szCs w:val="22"/>
        </w:rPr>
        <w:t>Die diesbezüglichen Ausführungen im Bericht waren korrekt, auch wenn einige historisch</w:t>
      </w:r>
      <w:r w:rsidR="00A0538D">
        <w:rPr>
          <w:rFonts w:ascii="Tahoma" w:eastAsia="Aptos" w:hAnsi="Tahoma" w:cs="Tahoma"/>
          <w:color w:val="000000" w:themeColor="text1"/>
          <w:sz w:val="22"/>
          <w:szCs w:val="22"/>
        </w:rPr>
        <w:t xml:space="preserve"> bedingte Hintergrundfaktoren nicht genannt wurden. </w:t>
      </w:r>
      <w:r w:rsidRPr="003E71CE">
        <w:rPr>
          <w:rFonts w:ascii="Tahoma" w:eastAsia="Aptos" w:hAnsi="Tahoma" w:cs="Tahoma"/>
          <w:color w:val="000000" w:themeColor="text1"/>
          <w:sz w:val="22"/>
          <w:szCs w:val="22"/>
        </w:rPr>
        <w:t xml:space="preserve">Das </w:t>
      </w:r>
      <w:r w:rsidR="00A0538D">
        <w:rPr>
          <w:rFonts w:ascii="Tahoma" w:eastAsia="Aptos" w:hAnsi="Tahoma" w:cs="Tahoma"/>
          <w:color w:val="000000" w:themeColor="text1"/>
          <w:sz w:val="22"/>
          <w:szCs w:val="22"/>
        </w:rPr>
        <w:t>war</w:t>
      </w:r>
      <w:r w:rsidRPr="003E71CE">
        <w:rPr>
          <w:rFonts w:ascii="Tahoma" w:eastAsia="Aptos" w:hAnsi="Tahoma" w:cs="Tahoma"/>
          <w:color w:val="000000" w:themeColor="text1"/>
          <w:sz w:val="22"/>
          <w:szCs w:val="22"/>
        </w:rPr>
        <w:t xml:space="preserve"> angesichts der Fokussierung und der Kürze des Informationsbeitrags auch nicht nötig.</w:t>
      </w:r>
    </w:p>
    <w:p w14:paraId="0C77F5F5" w14:textId="37E2E487" w:rsidR="000A7464" w:rsidRPr="00947958" w:rsidRDefault="000A7464" w:rsidP="000A7464">
      <w:pPr>
        <w:pStyle w:val="Listenabsatz"/>
        <w:rPr>
          <w:rFonts w:ascii="Tahoma" w:eastAsia="Aptos" w:hAnsi="Tahoma" w:cs="Tahoma"/>
          <w:color w:val="000000" w:themeColor="text1"/>
          <w:sz w:val="22"/>
          <w:szCs w:val="22"/>
        </w:rPr>
      </w:pPr>
    </w:p>
    <w:p w14:paraId="1DEFF107" w14:textId="1A69DA41" w:rsidR="003E71CE" w:rsidRDefault="003E71CE" w:rsidP="003E71CE">
      <w:pPr>
        <w:pStyle w:val="Listenabsatz"/>
        <w:numPr>
          <w:ilvl w:val="0"/>
          <w:numId w:val="19"/>
        </w:numPr>
        <w:rPr>
          <w:rFonts w:ascii="Tahoma" w:eastAsia="Aptos" w:hAnsi="Tahoma" w:cs="Tahoma"/>
          <w:color w:val="000000" w:themeColor="text1"/>
          <w:sz w:val="22"/>
          <w:szCs w:val="22"/>
        </w:rPr>
      </w:pPr>
      <w:r w:rsidRPr="003E71CE">
        <w:rPr>
          <w:rFonts w:ascii="Tahoma" w:eastAsia="Aptos" w:hAnsi="Tahoma" w:cs="Tahoma"/>
          <w:color w:val="000000" w:themeColor="text1"/>
          <w:sz w:val="22"/>
          <w:szCs w:val="22"/>
        </w:rPr>
        <w:t>Die</w:t>
      </w:r>
      <w:r w:rsidR="00CB5D3E">
        <w:rPr>
          <w:rFonts w:ascii="Tahoma" w:eastAsia="Aptos" w:hAnsi="Tahoma" w:cs="Tahoma"/>
          <w:color w:val="000000" w:themeColor="text1"/>
          <w:sz w:val="22"/>
          <w:szCs w:val="22"/>
        </w:rPr>
        <w:t xml:space="preserve"> Beanstandenden stellen </w:t>
      </w:r>
      <w:r w:rsidRPr="003E71CE">
        <w:rPr>
          <w:rFonts w:ascii="Tahoma" w:eastAsia="Aptos" w:hAnsi="Tahoma" w:cs="Tahoma"/>
          <w:color w:val="000000" w:themeColor="text1"/>
          <w:sz w:val="22"/>
          <w:szCs w:val="22"/>
        </w:rPr>
        <w:t>sich auf den Standpunkt, die Formulierung, «Ethnie, entstanden aus arabischen Völkern», sei eine das palästinensische Volk entwertende Verkürzung. Die Redaktion hält dem entgegen, dass die Formulierung historisch korrekt ist (aufgrund des Begriffs «Palästinenser» seit der Mandatszeit) und man bewusst keine Zuschreibung wie zum Beispiel «indigen» habe vornehmen wollen. Historisch korrekt ist: «Palästinenser» ist eine moderne nationale Selbstzuschreibung (ähnlich wie viele National</w:t>
      </w:r>
      <w:r w:rsidR="00747C54">
        <w:rPr>
          <w:rFonts w:ascii="Tahoma" w:eastAsia="Aptos" w:hAnsi="Tahoma" w:cs="Tahoma"/>
          <w:color w:val="000000" w:themeColor="text1"/>
          <w:sz w:val="22"/>
          <w:szCs w:val="22"/>
        </w:rPr>
        <w:t>-I</w:t>
      </w:r>
      <w:r w:rsidRPr="003E71CE">
        <w:rPr>
          <w:rFonts w:ascii="Tahoma" w:eastAsia="Aptos" w:hAnsi="Tahoma" w:cs="Tahoma"/>
          <w:color w:val="000000" w:themeColor="text1"/>
          <w:sz w:val="22"/>
          <w:szCs w:val="22"/>
        </w:rPr>
        <w:t>dentitäten im 19./20. Jh. entstanden). Tatsächlich hätte man sensibler formulieren können, um nicht den Eindruck zu erwecken, das palästinensische Volk sei «weniger legitim» als das jüdische. Einen Verstoss gegen das Sachgerechtigkeitsgebot erkennt die Ombudsstelle aufgrund d</w:t>
      </w:r>
      <w:r w:rsidR="00747C54">
        <w:rPr>
          <w:rFonts w:ascii="Tahoma" w:eastAsia="Aptos" w:hAnsi="Tahoma" w:cs="Tahoma"/>
          <w:color w:val="000000" w:themeColor="text1"/>
          <w:sz w:val="22"/>
          <w:szCs w:val="22"/>
        </w:rPr>
        <w:t>i</w:t>
      </w:r>
      <w:r w:rsidRPr="003E71CE">
        <w:rPr>
          <w:rFonts w:ascii="Tahoma" w:eastAsia="Aptos" w:hAnsi="Tahoma" w:cs="Tahoma"/>
          <w:color w:val="000000" w:themeColor="text1"/>
          <w:sz w:val="22"/>
          <w:szCs w:val="22"/>
        </w:rPr>
        <w:t>es</w:t>
      </w:r>
      <w:r w:rsidR="00747C54">
        <w:rPr>
          <w:rFonts w:ascii="Tahoma" w:eastAsia="Aptos" w:hAnsi="Tahoma" w:cs="Tahoma"/>
          <w:color w:val="000000" w:themeColor="text1"/>
          <w:sz w:val="22"/>
          <w:szCs w:val="22"/>
        </w:rPr>
        <w:t>es</w:t>
      </w:r>
      <w:r w:rsidRPr="003E71CE">
        <w:rPr>
          <w:rFonts w:ascii="Tahoma" w:eastAsia="Aptos" w:hAnsi="Tahoma" w:cs="Tahoma"/>
          <w:color w:val="000000" w:themeColor="text1"/>
          <w:sz w:val="22"/>
          <w:szCs w:val="22"/>
        </w:rPr>
        <w:t xml:space="preserve"> mangelnden Sensibilisierungsgrads jedoch nicht.</w:t>
      </w:r>
    </w:p>
    <w:p w14:paraId="1271295F" w14:textId="77777777" w:rsidR="002F4C94" w:rsidRDefault="002F4C94" w:rsidP="002F4C94">
      <w:pPr>
        <w:pStyle w:val="Listenabsatz"/>
        <w:rPr>
          <w:rFonts w:ascii="Tahoma" w:eastAsia="Aptos" w:hAnsi="Tahoma" w:cs="Tahoma"/>
          <w:color w:val="000000" w:themeColor="text1"/>
          <w:sz w:val="22"/>
          <w:szCs w:val="22"/>
        </w:rPr>
      </w:pPr>
    </w:p>
    <w:p w14:paraId="4732F099" w14:textId="6C6CECF0" w:rsidR="005C4118" w:rsidRDefault="003E71CE" w:rsidP="003E71CE">
      <w:pPr>
        <w:pStyle w:val="Listenabsatz"/>
        <w:numPr>
          <w:ilvl w:val="0"/>
          <w:numId w:val="19"/>
        </w:numPr>
        <w:rPr>
          <w:rFonts w:ascii="Tahoma" w:eastAsia="Aptos" w:hAnsi="Tahoma" w:cs="Tahoma"/>
          <w:color w:val="000000" w:themeColor="text1"/>
          <w:sz w:val="22"/>
          <w:szCs w:val="22"/>
        </w:rPr>
      </w:pPr>
      <w:r>
        <w:rPr>
          <w:rFonts w:ascii="Tahoma" w:eastAsia="Aptos" w:hAnsi="Tahoma" w:cs="Tahoma"/>
          <w:color w:val="000000" w:themeColor="text1"/>
          <w:sz w:val="22"/>
          <w:szCs w:val="22"/>
        </w:rPr>
        <w:t>Die Beansta</w:t>
      </w:r>
      <w:r w:rsidR="00CB5D3E">
        <w:rPr>
          <w:rFonts w:ascii="Tahoma" w:eastAsia="Aptos" w:hAnsi="Tahoma" w:cs="Tahoma"/>
          <w:color w:val="000000" w:themeColor="text1"/>
          <w:sz w:val="22"/>
          <w:szCs w:val="22"/>
        </w:rPr>
        <w:t>ndenden</w:t>
      </w:r>
      <w:r>
        <w:rPr>
          <w:rFonts w:ascii="Tahoma" w:eastAsia="Aptos" w:hAnsi="Tahoma" w:cs="Tahoma"/>
          <w:color w:val="000000" w:themeColor="text1"/>
          <w:sz w:val="22"/>
          <w:szCs w:val="22"/>
        </w:rPr>
        <w:t xml:space="preserve"> kritisier</w:t>
      </w:r>
      <w:r w:rsidR="00CB5D3E">
        <w:rPr>
          <w:rFonts w:ascii="Tahoma" w:eastAsia="Aptos" w:hAnsi="Tahoma" w:cs="Tahoma"/>
          <w:color w:val="000000" w:themeColor="text1"/>
          <w:sz w:val="22"/>
          <w:szCs w:val="22"/>
        </w:rPr>
        <w:t>en</w:t>
      </w:r>
      <w:r>
        <w:rPr>
          <w:rFonts w:ascii="Tahoma" w:eastAsia="Aptos" w:hAnsi="Tahoma" w:cs="Tahoma"/>
          <w:color w:val="000000" w:themeColor="text1"/>
          <w:sz w:val="22"/>
          <w:szCs w:val="22"/>
        </w:rPr>
        <w:t xml:space="preserve"> den in ihren Augen betont einseitigen Slogan «</w:t>
      </w:r>
      <w:r w:rsidR="005C4118" w:rsidRPr="003E71CE">
        <w:rPr>
          <w:rFonts w:ascii="Tahoma" w:eastAsia="Aptos" w:hAnsi="Tahoma" w:cs="Tahoma"/>
          <w:color w:val="000000" w:themeColor="text1"/>
          <w:sz w:val="22"/>
          <w:szCs w:val="22"/>
        </w:rPr>
        <w:t>vom Fluss bis zum Meer</w:t>
      </w:r>
      <w:r>
        <w:rPr>
          <w:rFonts w:ascii="Tahoma" w:eastAsia="Aptos" w:hAnsi="Tahoma" w:cs="Tahoma"/>
          <w:color w:val="000000" w:themeColor="text1"/>
          <w:sz w:val="22"/>
          <w:szCs w:val="22"/>
        </w:rPr>
        <w:t>»</w:t>
      </w:r>
      <w:r w:rsidR="005C4118" w:rsidRPr="003E71CE">
        <w:rPr>
          <w:rFonts w:ascii="Tahoma" w:eastAsia="Aptos" w:hAnsi="Tahoma" w:cs="Tahoma"/>
          <w:color w:val="000000" w:themeColor="text1"/>
          <w:sz w:val="22"/>
          <w:szCs w:val="22"/>
        </w:rPr>
        <w:t xml:space="preserve"> und </w:t>
      </w:r>
      <w:r w:rsidR="008811F2">
        <w:rPr>
          <w:rFonts w:ascii="Tahoma" w:eastAsia="Aptos" w:hAnsi="Tahoma" w:cs="Tahoma"/>
          <w:color w:val="000000" w:themeColor="text1"/>
          <w:sz w:val="22"/>
          <w:szCs w:val="22"/>
        </w:rPr>
        <w:t xml:space="preserve">der Bericht </w:t>
      </w:r>
      <w:r w:rsidR="005C4118" w:rsidRPr="003E71CE">
        <w:rPr>
          <w:rFonts w:ascii="Tahoma" w:eastAsia="Aptos" w:hAnsi="Tahoma" w:cs="Tahoma"/>
          <w:color w:val="000000" w:themeColor="text1"/>
          <w:sz w:val="22"/>
          <w:szCs w:val="22"/>
        </w:rPr>
        <w:t xml:space="preserve">unterschlage </w:t>
      </w:r>
      <w:r>
        <w:rPr>
          <w:rFonts w:ascii="Tahoma" w:eastAsia="Aptos" w:hAnsi="Tahoma" w:cs="Tahoma"/>
          <w:color w:val="000000" w:themeColor="text1"/>
          <w:sz w:val="22"/>
          <w:szCs w:val="22"/>
        </w:rPr>
        <w:t xml:space="preserve">den </w:t>
      </w:r>
      <w:r w:rsidR="005C4118" w:rsidRPr="003E71CE">
        <w:rPr>
          <w:rFonts w:ascii="Tahoma" w:eastAsia="Aptos" w:hAnsi="Tahoma" w:cs="Tahoma"/>
          <w:color w:val="000000" w:themeColor="text1"/>
          <w:sz w:val="22"/>
          <w:szCs w:val="22"/>
        </w:rPr>
        <w:t>Kontext (Besatzung, Siedlungsbau, Zersplitterung).</w:t>
      </w:r>
      <w:r>
        <w:rPr>
          <w:rFonts w:ascii="Tahoma" w:eastAsia="Aptos" w:hAnsi="Tahoma" w:cs="Tahoma"/>
          <w:color w:val="000000" w:themeColor="text1"/>
          <w:sz w:val="22"/>
          <w:szCs w:val="22"/>
        </w:rPr>
        <w:t xml:space="preserve"> Die Redaktion verweist nach der Meinung der Ombudsstelle aber zu Recht darauf, dass im Beitrag die Orientierung an der Westbank, Gaza und Ostjerusalem klar benannt worden sei. Es wurde nicht nur das Maximal-Narrativ gezeigt, sondern auch die Oslo-Grenze als Referenz. Auch hier hätte man den Kontext «Besatzung verhindert Kohärenz» prägnanter formulieren können. Aber auch hier liegt deswegen kein Verstoss gegen das Sachgerechtigkeitsverbot vor.</w:t>
      </w:r>
    </w:p>
    <w:p w14:paraId="115CF688" w14:textId="77777777" w:rsidR="002F4C94" w:rsidRPr="002F4C94" w:rsidRDefault="002F4C94" w:rsidP="002F4C94">
      <w:pPr>
        <w:rPr>
          <w:rFonts w:ascii="Tahoma" w:eastAsia="Aptos" w:hAnsi="Tahoma" w:cs="Tahoma"/>
          <w:color w:val="000000" w:themeColor="text1"/>
          <w:sz w:val="22"/>
          <w:szCs w:val="22"/>
        </w:rPr>
      </w:pPr>
    </w:p>
    <w:p w14:paraId="3F60AA45" w14:textId="1E0599BF" w:rsidR="00F50118" w:rsidRDefault="00F50118" w:rsidP="00F50118">
      <w:pPr>
        <w:pStyle w:val="Listenabsatz"/>
        <w:numPr>
          <w:ilvl w:val="0"/>
          <w:numId w:val="19"/>
        </w:numPr>
        <w:rPr>
          <w:rFonts w:ascii="Tahoma" w:eastAsia="Aptos" w:hAnsi="Tahoma" w:cs="Tahoma"/>
          <w:color w:val="000000" w:themeColor="text1"/>
          <w:sz w:val="22"/>
          <w:szCs w:val="22"/>
        </w:rPr>
      </w:pPr>
      <w:r>
        <w:rPr>
          <w:rFonts w:ascii="Tahoma" w:eastAsia="Aptos" w:hAnsi="Tahoma" w:cs="Tahoma"/>
          <w:color w:val="000000" w:themeColor="text1"/>
          <w:sz w:val="22"/>
          <w:szCs w:val="22"/>
        </w:rPr>
        <w:t>Im Beitrag wurde klar gesagt, Israel untergrabe das Gewaltmonopol: «</w:t>
      </w:r>
      <w:r w:rsidRPr="005C4118">
        <w:rPr>
          <w:rFonts w:ascii="Tahoma" w:eastAsia="Aptos" w:hAnsi="Tahoma" w:cs="Tahoma"/>
          <w:color w:val="000000" w:themeColor="text1"/>
          <w:sz w:val="22"/>
          <w:szCs w:val="22"/>
        </w:rPr>
        <w:t>Besatzer machten… das Gewaltmonopol immer strittiger</w:t>
      </w:r>
      <w:r>
        <w:rPr>
          <w:rFonts w:ascii="Tahoma" w:eastAsia="Aptos" w:hAnsi="Tahoma" w:cs="Tahoma"/>
          <w:color w:val="000000" w:themeColor="text1"/>
          <w:sz w:val="22"/>
          <w:szCs w:val="22"/>
        </w:rPr>
        <w:t xml:space="preserve">». Der Kontext zur Besatzung wurde explizit erwähnt, sodass der Vorwurf der </w:t>
      </w:r>
      <w:r w:rsidR="00CB5D3E">
        <w:rPr>
          <w:rFonts w:ascii="Tahoma" w:eastAsia="Aptos" w:hAnsi="Tahoma" w:cs="Tahoma"/>
          <w:color w:val="000000" w:themeColor="text1"/>
          <w:sz w:val="22"/>
          <w:szCs w:val="22"/>
        </w:rPr>
        <w:t>Beanstandenden</w:t>
      </w:r>
      <w:r>
        <w:rPr>
          <w:rFonts w:ascii="Tahoma" w:eastAsia="Aptos" w:hAnsi="Tahoma" w:cs="Tahoma"/>
          <w:color w:val="000000" w:themeColor="text1"/>
          <w:sz w:val="22"/>
          <w:szCs w:val="22"/>
        </w:rPr>
        <w:t>, der Hamas/Fatah-Konflikt sei ohne Besatzungskontext dargestellt wurden, nicht stichhaltig ist.</w:t>
      </w:r>
    </w:p>
    <w:p w14:paraId="22828C21" w14:textId="77777777" w:rsidR="002F4C94" w:rsidRPr="002F4C94" w:rsidRDefault="002F4C94" w:rsidP="002F4C94">
      <w:pPr>
        <w:rPr>
          <w:rFonts w:ascii="Tahoma" w:eastAsia="Aptos" w:hAnsi="Tahoma" w:cs="Tahoma"/>
          <w:color w:val="000000" w:themeColor="text1"/>
          <w:sz w:val="22"/>
          <w:szCs w:val="22"/>
        </w:rPr>
      </w:pPr>
    </w:p>
    <w:p w14:paraId="2015B7C1" w14:textId="022105D0" w:rsidR="00F50118" w:rsidRDefault="00F50118" w:rsidP="00F50118">
      <w:pPr>
        <w:pStyle w:val="Listenabsatz"/>
        <w:numPr>
          <w:ilvl w:val="0"/>
          <w:numId w:val="19"/>
        </w:numPr>
        <w:rPr>
          <w:rFonts w:ascii="Tahoma" w:eastAsia="Aptos" w:hAnsi="Tahoma" w:cs="Tahoma"/>
          <w:color w:val="000000" w:themeColor="text1"/>
          <w:sz w:val="22"/>
          <w:szCs w:val="22"/>
        </w:rPr>
      </w:pPr>
      <w:r w:rsidRPr="00F50118">
        <w:rPr>
          <w:rFonts w:ascii="Tahoma" w:eastAsia="Aptos" w:hAnsi="Tahoma" w:cs="Tahoma"/>
          <w:color w:val="000000" w:themeColor="text1"/>
          <w:sz w:val="22"/>
          <w:szCs w:val="22"/>
        </w:rPr>
        <w:t>Ohne den Zusatz «</w:t>
      </w:r>
      <w:r w:rsidR="00A61CED">
        <w:rPr>
          <w:rFonts w:ascii="Tahoma" w:eastAsia="Aptos" w:hAnsi="Tahoma" w:cs="Tahoma"/>
          <w:color w:val="000000" w:themeColor="text1"/>
          <w:sz w:val="22"/>
          <w:szCs w:val="22"/>
          <w:u w:val="single"/>
        </w:rPr>
        <w:t xml:space="preserve">erstes </w:t>
      </w:r>
      <w:r w:rsidR="00DB2C70" w:rsidRPr="004D65CF">
        <w:rPr>
          <w:rFonts w:ascii="Tahoma" w:eastAsia="Aptos" w:hAnsi="Tahoma" w:cs="Tahoma"/>
          <w:color w:val="000000" w:themeColor="text1"/>
          <w:sz w:val="22"/>
          <w:szCs w:val="22"/>
          <w:u w:val="single"/>
        </w:rPr>
        <w:t>mächtiges</w:t>
      </w:r>
      <w:r w:rsidR="00DB2C70">
        <w:rPr>
          <w:rFonts w:ascii="Tahoma" w:eastAsia="Aptos" w:hAnsi="Tahoma" w:cs="Tahoma"/>
          <w:color w:val="000000" w:themeColor="text1"/>
          <w:sz w:val="22"/>
          <w:szCs w:val="22"/>
        </w:rPr>
        <w:t xml:space="preserve"> westliches</w:t>
      </w:r>
      <w:r w:rsidRPr="00F50118">
        <w:rPr>
          <w:rFonts w:ascii="Tahoma" w:eastAsia="Aptos" w:hAnsi="Tahoma" w:cs="Tahoma"/>
          <w:color w:val="000000" w:themeColor="text1"/>
          <w:sz w:val="22"/>
          <w:szCs w:val="22"/>
        </w:rPr>
        <w:t>» Land wäre es tatsächlich meinungsverfälschend gewesen, Frankreich als erstes westliches Land zu nennen, das Palästina als Land anerkennen will. Aber Frankreich war tatsächlich die erste westliche Grossmacht (Mitglied des Uno-Sicherheitsrats und Mitglied der G7)</w:t>
      </w:r>
      <w:r w:rsidR="00747C54">
        <w:rPr>
          <w:rFonts w:ascii="Tahoma" w:eastAsia="Aptos" w:hAnsi="Tahoma" w:cs="Tahoma"/>
          <w:color w:val="000000" w:themeColor="text1"/>
          <w:sz w:val="22"/>
          <w:szCs w:val="22"/>
        </w:rPr>
        <w:t>, die den Staat anerkennen will</w:t>
      </w:r>
      <w:r w:rsidRPr="00F50118">
        <w:rPr>
          <w:rFonts w:ascii="Tahoma" w:eastAsia="Aptos" w:hAnsi="Tahoma" w:cs="Tahoma"/>
          <w:color w:val="000000" w:themeColor="text1"/>
          <w:sz w:val="22"/>
          <w:szCs w:val="22"/>
        </w:rPr>
        <w:t xml:space="preserve">. Die Formulierung ist deshalb zulässig. </w:t>
      </w:r>
    </w:p>
    <w:p w14:paraId="3758D397" w14:textId="77777777" w:rsidR="002F4C94" w:rsidRPr="002F4C94" w:rsidRDefault="002F4C94" w:rsidP="002F4C94">
      <w:pPr>
        <w:pStyle w:val="Listenabsatz"/>
        <w:rPr>
          <w:rFonts w:ascii="Tahoma" w:eastAsia="Aptos" w:hAnsi="Tahoma" w:cs="Tahoma"/>
          <w:color w:val="000000" w:themeColor="text1"/>
          <w:sz w:val="22"/>
          <w:szCs w:val="22"/>
        </w:rPr>
      </w:pPr>
    </w:p>
    <w:p w14:paraId="375E4A65" w14:textId="77777777" w:rsidR="002F4C94" w:rsidRDefault="002F4C94" w:rsidP="002F4C94">
      <w:pPr>
        <w:pStyle w:val="Listenabsatz"/>
        <w:rPr>
          <w:rFonts w:ascii="Tahoma" w:eastAsia="Aptos" w:hAnsi="Tahoma" w:cs="Tahoma"/>
          <w:color w:val="000000" w:themeColor="text1"/>
          <w:sz w:val="22"/>
          <w:szCs w:val="22"/>
        </w:rPr>
      </w:pPr>
    </w:p>
    <w:p w14:paraId="58071844" w14:textId="5A4DCB46" w:rsidR="00F50118" w:rsidRDefault="00F50118" w:rsidP="00F50118">
      <w:pPr>
        <w:pStyle w:val="Listenabsatz"/>
        <w:numPr>
          <w:ilvl w:val="0"/>
          <w:numId w:val="19"/>
        </w:numPr>
        <w:rPr>
          <w:rFonts w:ascii="Tahoma" w:eastAsia="Aptos" w:hAnsi="Tahoma" w:cs="Tahoma"/>
          <w:color w:val="000000" w:themeColor="text1"/>
          <w:sz w:val="22"/>
          <w:szCs w:val="22"/>
        </w:rPr>
      </w:pPr>
      <w:r>
        <w:rPr>
          <w:rFonts w:ascii="Tahoma" w:eastAsia="Aptos" w:hAnsi="Tahoma" w:cs="Tahoma"/>
          <w:color w:val="000000" w:themeColor="text1"/>
          <w:sz w:val="22"/>
          <w:szCs w:val="22"/>
        </w:rPr>
        <w:lastRenderedPageBreak/>
        <w:t xml:space="preserve">Nicht stichhaltig ist </w:t>
      </w:r>
      <w:r w:rsidR="00CB5D3E">
        <w:rPr>
          <w:rFonts w:ascii="Tahoma" w:eastAsia="Aptos" w:hAnsi="Tahoma" w:cs="Tahoma"/>
          <w:color w:val="000000" w:themeColor="text1"/>
          <w:sz w:val="22"/>
          <w:szCs w:val="22"/>
        </w:rPr>
        <w:t>der Vorwurf der Beanstandenden</w:t>
      </w:r>
      <w:r>
        <w:rPr>
          <w:rFonts w:ascii="Tahoma" w:eastAsia="Aptos" w:hAnsi="Tahoma" w:cs="Tahoma"/>
          <w:color w:val="000000" w:themeColor="text1"/>
          <w:sz w:val="22"/>
          <w:szCs w:val="22"/>
        </w:rPr>
        <w:t>, der IGH, Amnesty International und weitere nichtstaatliche Institutionen bzw. Organisationen seien im Bericht nicht erwähnt worden. Der Fokus des Beitrags lag auf der Staatlichkeit, nicht auf Apartheid- oder Besatzungsdebatten.</w:t>
      </w:r>
    </w:p>
    <w:p w14:paraId="056993D5" w14:textId="77777777" w:rsidR="00747C54" w:rsidRDefault="00747C54" w:rsidP="00747C54">
      <w:pPr>
        <w:pStyle w:val="Listenabsatz"/>
        <w:rPr>
          <w:rFonts w:ascii="Tahoma" w:eastAsia="Aptos" w:hAnsi="Tahoma" w:cs="Tahoma"/>
          <w:color w:val="000000" w:themeColor="text1"/>
          <w:sz w:val="22"/>
          <w:szCs w:val="22"/>
        </w:rPr>
      </w:pPr>
    </w:p>
    <w:p w14:paraId="57E57CDD" w14:textId="754C0F06" w:rsidR="00CB5D3E" w:rsidRPr="00CB5D3E" w:rsidRDefault="00747C54" w:rsidP="00747C54">
      <w:pPr>
        <w:rPr>
          <w:rFonts w:ascii="Tahoma" w:eastAsia="Aptos" w:hAnsi="Tahoma" w:cs="Tahoma"/>
          <w:b/>
          <w:bCs/>
          <w:color w:val="000000" w:themeColor="text1"/>
          <w:sz w:val="22"/>
          <w:szCs w:val="22"/>
        </w:rPr>
      </w:pPr>
      <w:r w:rsidRPr="00CB5D3E">
        <w:rPr>
          <w:rFonts w:ascii="Tahoma" w:eastAsia="Aptos" w:hAnsi="Tahoma" w:cs="Tahoma"/>
          <w:b/>
          <w:bCs/>
          <w:color w:val="000000" w:themeColor="text1"/>
          <w:sz w:val="22"/>
          <w:szCs w:val="22"/>
        </w:rPr>
        <w:t xml:space="preserve">Aufgrund des </w:t>
      </w:r>
      <w:r w:rsidR="004B272A">
        <w:rPr>
          <w:rFonts w:ascii="Tahoma" w:eastAsia="Aptos" w:hAnsi="Tahoma" w:cs="Tahoma"/>
          <w:b/>
          <w:bCs/>
          <w:color w:val="000000" w:themeColor="text1"/>
          <w:sz w:val="22"/>
          <w:szCs w:val="22"/>
        </w:rPr>
        <w:t xml:space="preserve">(völkerrechtlichen) </w:t>
      </w:r>
      <w:r w:rsidRPr="00CB5D3E">
        <w:rPr>
          <w:rFonts w:ascii="Tahoma" w:eastAsia="Aptos" w:hAnsi="Tahoma" w:cs="Tahoma"/>
          <w:b/>
          <w:bCs/>
          <w:color w:val="000000" w:themeColor="text1"/>
          <w:sz w:val="22"/>
          <w:szCs w:val="22"/>
        </w:rPr>
        <w:t>Fokus</w:t>
      </w:r>
      <w:r w:rsidR="004B272A">
        <w:rPr>
          <w:rFonts w:ascii="Tahoma" w:eastAsia="Aptos" w:hAnsi="Tahoma" w:cs="Tahoma"/>
          <w:b/>
          <w:bCs/>
          <w:color w:val="000000" w:themeColor="text1"/>
          <w:sz w:val="22"/>
          <w:szCs w:val="22"/>
        </w:rPr>
        <w:t>’</w:t>
      </w:r>
      <w:r w:rsidRPr="00CB5D3E">
        <w:rPr>
          <w:rFonts w:ascii="Tahoma" w:eastAsia="Aptos" w:hAnsi="Tahoma" w:cs="Tahoma"/>
          <w:b/>
          <w:bCs/>
          <w:color w:val="000000" w:themeColor="text1"/>
          <w:sz w:val="22"/>
          <w:szCs w:val="22"/>
        </w:rPr>
        <w:t xml:space="preserve"> des «10vor10»-Informationsberichtes über die bevorstehende Anerkennung Palästinas als Staat durch Frankreich und der Tatsache, dass die gewünschte </w:t>
      </w:r>
      <w:r w:rsidR="004B272A">
        <w:rPr>
          <w:rFonts w:ascii="Tahoma" w:eastAsia="Aptos" w:hAnsi="Tahoma" w:cs="Tahoma"/>
          <w:b/>
          <w:bCs/>
          <w:color w:val="000000" w:themeColor="text1"/>
          <w:sz w:val="22"/>
          <w:szCs w:val="22"/>
        </w:rPr>
        <w:t xml:space="preserve">(historisch ausführliche) </w:t>
      </w:r>
      <w:r w:rsidRPr="00CB5D3E">
        <w:rPr>
          <w:rFonts w:ascii="Tahoma" w:eastAsia="Aptos" w:hAnsi="Tahoma" w:cs="Tahoma"/>
          <w:b/>
          <w:bCs/>
          <w:color w:val="000000" w:themeColor="text1"/>
          <w:sz w:val="22"/>
          <w:szCs w:val="22"/>
        </w:rPr>
        <w:t xml:space="preserve">Kontextualisierung in anderen SRF-Beiträgen durchaus vorgenommen wurde, wurde das Sachgerechtigkeitsgebot gemäss Art. 4 Abs. 2 des Radio- und Fernsehgesetzes </w:t>
      </w:r>
      <w:r w:rsidR="0078692A">
        <w:rPr>
          <w:rFonts w:ascii="Tahoma" w:eastAsia="Aptos" w:hAnsi="Tahoma" w:cs="Tahoma"/>
          <w:b/>
          <w:bCs/>
          <w:color w:val="000000" w:themeColor="text1"/>
          <w:sz w:val="22"/>
          <w:szCs w:val="22"/>
        </w:rPr>
        <w:t xml:space="preserve">nicht </w:t>
      </w:r>
      <w:r w:rsidRPr="00CB5D3E">
        <w:rPr>
          <w:rFonts w:ascii="Tahoma" w:eastAsia="Aptos" w:hAnsi="Tahoma" w:cs="Tahoma"/>
          <w:b/>
          <w:bCs/>
          <w:color w:val="000000" w:themeColor="text1"/>
          <w:sz w:val="22"/>
          <w:szCs w:val="22"/>
        </w:rPr>
        <w:t>verletzt.</w:t>
      </w:r>
    </w:p>
    <w:p w14:paraId="6BD669CA" w14:textId="77777777" w:rsidR="00D72E64" w:rsidRPr="00F8560C" w:rsidRDefault="00D72E64" w:rsidP="00D72E64">
      <w:pPr>
        <w:rPr>
          <w:rFonts w:ascii="Tahoma" w:hAnsi="Tahoma" w:cs="Tahoma"/>
          <w:sz w:val="22"/>
          <w:szCs w:val="22"/>
        </w:rPr>
      </w:pPr>
    </w:p>
    <w:p w14:paraId="1BA56D23" w14:textId="4155706B" w:rsidR="00D72E64" w:rsidRPr="00F8560C" w:rsidRDefault="00CB5D3E" w:rsidP="00D72E64">
      <w:pPr>
        <w:rPr>
          <w:rFonts w:ascii="Tahoma" w:hAnsi="Tahoma" w:cs="Tahoma"/>
          <w:bCs/>
          <w:sz w:val="22"/>
          <w:szCs w:val="22"/>
        </w:rPr>
      </w:pPr>
      <w:r>
        <w:rPr>
          <w:rFonts w:ascii="Tahoma" w:hAnsi="Tahoma" w:cs="Tahoma"/>
          <w:bCs/>
          <w:sz w:val="22"/>
          <w:szCs w:val="22"/>
        </w:rPr>
        <w:t>Sollte in Erwägung gezogen werden,</w:t>
      </w:r>
      <w:r w:rsidR="00D72E64" w:rsidRPr="00F8560C">
        <w:rPr>
          <w:rFonts w:ascii="Tahoma" w:hAnsi="Tahoma" w:cs="Tahoma"/>
          <w:bCs/>
          <w:sz w:val="22"/>
          <w:szCs w:val="22"/>
        </w:rPr>
        <w:t xml:space="preserve"> den rechtlichen Weg zu beschreiten und </w:t>
      </w:r>
      <w:r>
        <w:rPr>
          <w:rFonts w:ascii="Tahoma" w:hAnsi="Tahoma" w:cs="Tahoma"/>
          <w:bCs/>
          <w:sz w:val="22"/>
          <w:szCs w:val="22"/>
        </w:rPr>
        <w:t>man an die</w:t>
      </w:r>
      <w:r w:rsidR="00D72E64" w:rsidRPr="00F8560C">
        <w:rPr>
          <w:rFonts w:ascii="Tahoma" w:hAnsi="Tahoma" w:cs="Tahoma"/>
          <w:bCs/>
          <w:sz w:val="22"/>
          <w:szCs w:val="22"/>
        </w:rPr>
        <w:t xml:space="preserve"> Unabhängige Beschwerdeinstanz für Radio und Fernsehen (UBI) </w:t>
      </w:r>
      <w:r>
        <w:rPr>
          <w:rFonts w:ascii="Tahoma" w:hAnsi="Tahoma" w:cs="Tahoma"/>
          <w:bCs/>
          <w:sz w:val="22"/>
          <w:szCs w:val="22"/>
        </w:rPr>
        <w:t>gelangen will</w:t>
      </w:r>
      <w:r w:rsidR="00D72E64" w:rsidRPr="00F8560C">
        <w:rPr>
          <w:rFonts w:ascii="Tahoma" w:hAnsi="Tahoma" w:cs="Tahoma"/>
          <w:bCs/>
          <w:sz w:val="22"/>
          <w:szCs w:val="22"/>
        </w:rPr>
        <w:t xml:space="preserve">, </w:t>
      </w:r>
      <w:r>
        <w:rPr>
          <w:rFonts w:ascii="Tahoma" w:hAnsi="Tahoma" w:cs="Tahoma"/>
          <w:bCs/>
          <w:sz w:val="22"/>
          <w:szCs w:val="22"/>
        </w:rPr>
        <w:t>findet sich im Anhang</w:t>
      </w:r>
      <w:r w:rsidR="00D72E64" w:rsidRPr="00F8560C">
        <w:rPr>
          <w:rFonts w:ascii="Tahoma" w:hAnsi="Tahoma" w:cs="Tahoma"/>
          <w:bCs/>
          <w:sz w:val="22"/>
          <w:szCs w:val="22"/>
        </w:rPr>
        <w:t xml:space="preserve"> </w:t>
      </w:r>
      <w:r>
        <w:rPr>
          <w:rFonts w:ascii="Tahoma" w:hAnsi="Tahoma" w:cs="Tahoma"/>
          <w:bCs/>
          <w:sz w:val="22"/>
          <w:szCs w:val="22"/>
        </w:rPr>
        <w:t>die Rechtsmittelbelehrung.</w:t>
      </w:r>
    </w:p>
    <w:p w14:paraId="56F89E2F" w14:textId="77777777" w:rsidR="00EE2BC0" w:rsidRPr="00F8560C" w:rsidRDefault="00EE2BC0" w:rsidP="00D72E64">
      <w:pPr>
        <w:rPr>
          <w:rFonts w:ascii="Tahoma" w:eastAsia="Calibri" w:hAnsi="Tahoma" w:cs="Tahoma"/>
          <w:sz w:val="22"/>
          <w:szCs w:val="22"/>
        </w:rPr>
      </w:pPr>
    </w:p>
    <w:p w14:paraId="2AFC1500" w14:textId="77777777" w:rsidR="00F602CF" w:rsidRPr="00F8560C" w:rsidRDefault="00F602CF" w:rsidP="00F602CF">
      <w:pPr>
        <w:rPr>
          <w:rFonts w:ascii="Tahoma" w:eastAsia="Calibri" w:hAnsi="Tahoma" w:cs="Tahoma"/>
          <w:sz w:val="22"/>
          <w:szCs w:val="22"/>
        </w:rPr>
      </w:pPr>
    </w:p>
    <w:p w14:paraId="06D9AB08" w14:textId="53E95E1B" w:rsidR="00847157" w:rsidRPr="00F8560C" w:rsidRDefault="00F602CF" w:rsidP="00147EFA">
      <w:pPr>
        <w:spacing w:line="240" w:lineRule="auto"/>
        <w:rPr>
          <w:rFonts w:ascii="Tahoma" w:eastAsia="Calibri" w:hAnsi="Tahoma" w:cs="Tahoma"/>
          <w:sz w:val="22"/>
          <w:szCs w:val="22"/>
        </w:rPr>
      </w:pPr>
      <w:r w:rsidRPr="00F8560C">
        <w:rPr>
          <w:rFonts w:ascii="Tahoma" w:eastAsia="Calibri" w:hAnsi="Tahoma" w:cs="Tahoma"/>
          <w:sz w:val="22"/>
          <w:szCs w:val="22"/>
        </w:rPr>
        <w:t>Mit freundlichen Grüssen</w:t>
      </w:r>
    </w:p>
    <w:p w14:paraId="227E08D2" w14:textId="5E1E8536" w:rsidR="00147EFA" w:rsidRPr="00F8560C" w:rsidRDefault="00147EFA" w:rsidP="00147EFA">
      <w:pPr>
        <w:spacing w:line="240" w:lineRule="auto"/>
        <w:rPr>
          <w:rFonts w:ascii="Tahoma" w:eastAsia="Calibri" w:hAnsi="Tahoma" w:cs="Tahoma"/>
          <w:sz w:val="22"/>
          <w:szCs w:val="22"/>
        </w:rPr>
      </w:pPr>
    </w:p>
    <w:p w14:paraId="29D036F3" w14:textId="653FCABD" w:rsidR="00661E36" w:rsidRPr="00F8560C" w:rsidRDefault="00D92BB1">
      <w:pPr>
        <w:rPr>
          <w:rFonts w:ascii="Tahoma" w:hAnsi="Tahoma" w:cs="Tahoma"/>
          <w:sz w:val="22"/>
          <w:szCs w:val="22"/>
        </w:rPr>
      </w:pPr>
      <w:r>
        <w:rPr>
          <w:rFonts w:ascii="Tahoma" w:eastAsia="Calibri" w:hAnsi="Tahoma" w:cs="Tahoma"/>
          <w:sz w:val="22"/>
          <w:szCs w:val="22"/>
        </w:rPr>
        <w:t>Ombudsstelle SRG Deutschschweiz</w:t>
      </w:r>
    </w:p>
    <w:sectPr w:rsidR="00661E36" w:rsidRPr="00F8560C" w:rsidSect="006E2E7D">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F09A" w14:textId="77777777" w:rsidR="0055684A" w:rsidRDefault="0055684A" w:rsidP="00354779">
      <w:pPr>
        <w:spacing w:line="240" w:lineRule="auto"/>
      </w:pPr>
      <w:r>
        <w:separator/>
      </w:r>
    </w:p>
  </w:endnote>
  <w:endnote w:type="continuationSeparator" w:id="0">
    <w:p w14:paraId="61F05CB8" w14:textId="77777777" w:rsidR="0055684A" w:rsidRDefault="0055684A" w:rsidP="00354779">
      <w:pPr>
        <w:spacing w:line="240" w:lineRule="auto"/>
      </w:pPr>
      <w:r>
        <w:continuationSeparator/>
      </w:r>
    </w:p>
  </w:endnote>
  <w:endnote w:type="continuationNotice" w:id="1">
    <w:p w14:paraId="7BD505F1" w14:textId="77777777" w:rsidR="0055684A" w:rsidRDefault="005568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RG SSR Type">
    <w:panose1 w:val="020B050403060203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445DD" w14:textId="77777777" w:rsidR="002B6F76" w:rsidRDefault="002B6F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RG SSR Type" w:hAnsi="SRG SSR Type"/>
        <w:sz w:val="24"/>
        <w:szCs w:val="24"/>
      </w:rPr>
      <w:id w:val="996544022"/>
      <w:docPartObj>
        <w:docPartGallery w:val="Page Numbers (Bottom of Page)"/>
        <w:docPartUnique/>
      </w:docPartObj>
    </w:sdtPr>
    <w:sdtEndPr/>
    <w:sdtContent>
      <w:p w14:paraId="0687C710" w14:textId="44CBE89F" w:rsidR="00354779" w:rsidRPr="00D72E64" w:rsidRDefault="00354779" w:rsidP="002B6F76">
        <w:pPr>
          <w:pStyle w:val="Fuzeile"/>
          <w:tabs>
            <w:tab w:val="clear" w:pos="4513"/>
          </w:tabs>
          <w:rPr>
            <w:rFonts w:ascii="SRG SSR Type" w:hAnsi="SRG SSR Type"/>
            <w:sz w:val="24"/>
            <w:szCs w:val="24"/>
          </w:rPr>
        </w:pPr>
        <w:r w:rsidRPr="00D72E64">
          <w:rPr>
            <w:rFonts w:ascii="SRG SSR Type" w:hAnsi="SRG SSR Type"/>
            <w:sz w:val="24"/>
            <w:szCs w:val="24"/>
          </w:rPr>
          <w:fldChar w:fldCharType="begin"/>
        </w:r>
        <w:r w:rsidRPr="00D72E64">
          <w:rPr>
            <w:rFonts w:ascii="SRG SSR Type" w:hAnsi="SRG SSR Type"/>
            <w:sz w:val="24"/>
            <w:szCs w:val="24"/>
          </w:rPr>
          <w:instrText>PAGE   \* MERGEFORMAT</w:instrText>
        </w:r>
        <w:r w:rsidRPr="00D72E64">
          <w:rPr>
            <w:rFonts w:ascii="SRG SSR Type" w:hAnsi="SRG SSR Type"/>
            <w:sz w:val="24"/>
            <w:szCs w:val="24"/>
          </w:rPr>
          <w:fldChar w:fldCharType="separate"/>
        </w:r>
        <w:r w:rsidRPr="00D72E64">
          <w:rPr>
            <w:rFonts w:ascii="SRG SSR Type" w:hAnsi="SRG SSR Type"/>
            <w:sz w:val="24"/>
            <w:szCs w:val="24"/>
            <w:lang w:val="de-DE"/>
          </w:rPr>
          <w:t>2</w:t>
        </w:r>
        <w:r w:rsidRPr="00D72E64">
          <w:rPr>
            <w:rFonts w:ascii="SRG SSR Type" w:hAnsi="SRG SSR Type"/>
            <w:sz w:val="24"/>
            <w:szCs w:val="24"/>
          </w:rPr>
          <w:fldChar w:fldCharType="end"/>
        </w:r>
        <w:r w:rsidRPr="00D72E64">
          <w:rPr>
            <w:rFonts w:ascii="SRG SSR Type" w:hAnsi="SRG SSR Type"/>
            <w:sz w:val="24"/>
            <w:szCs w:val="24"/>
          </w:rPr>
          <w:tab/>
        </w:r>
        <w:r w:rsidRPr="00D72E64">
          <w:rPr>
            <w:rFonts w:ascii="SRG SSR Type" w:hAnsi="SRG SSR Type"/>
            <w:b/>
            <w:bCs/>
            <w:sz w:val="24"/>
            <w:szCs w:val="24"/>
          </w:rPr>
          <w:t xml:space="preserve">Ombudsstelle </w:t>
        </w:r>
        <w:r w:rsidRPr="00D72E64">
          <w:rPr>
            <w:rFonts w:ascii="SRG SSR Type" w:hAnsi="SRG SSR Type"/>
            <w:sz w:val="24"/>
            <w:szCs w:val="24"/>
          </w:rPr>
          <w:t>SRG Deutschschweiz</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F3C2" w14:textId="77777777" w:rsidR="002B6F76" w:rsidRDefault="002B6F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2F86" w14:textId="77777777" w:rsidR="0055684A" w:rsidRDefault="0055684A" w:rsidP="00354779">
      <w:pPr>
        <w:spacing w:line="240" w:lineRule="auto"/>
      </w:pPr>
      <w:r>
        <w:separator/>
      </w:r>
    </w:p>
  </w:footnote>
  <w:footnote w:type="continuationSeparator" w:id="0">
    <w:p w14:paraId="7F8DE933" w14:textId="77777777" w:rsidR="0055684A" w:rsidRDefault="0055684A" w:rsidP="00354779">
      <w:pPr>
        <w:spacing w:line="240" w:lineRule="auto"/>
      </w:pPr>
      <w:r>
        <w:continuationSeparator/>
      </w:r>
    </w:p>
  </w:footnote>
  <w:footnote w:type="continuationNotice" w:id="1">
    <w:p w14:paraId="41DF1A5F" w14:textId="77777777" w:rsidR="0055684A" w:rsidRDefault="005568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86DF" w14:textId="77777777" w:rsidR="002B6F76" w:rsidRDefault="002B6F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2ACE" w14:textId="0263C533" w:rsidR="002B6F76" w:rsidRDefault="002B6F76" w:rsidP="00820C25">
    <w:pPr>
      <w:pStyle w:val="Kopfzeile"/>
      <w:tabs>
        <w:tab w:val="clear" w:pos="4513"/>
        <w:tab w:val="clear" w:pos="9026"/>
        <w:tab w:val="left" w:pos="69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9785" w14:textId="77777777" w:rsidR="002B6F76" w:rsidRDefault="002B6F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553F"/>
    <w:multiLevelType w:val="multilevel"/>
    <w:tmpl w:val="2AA4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A15DD"/>
    <w:multiLevelType w:val="hybridMultilevel"/>
    <w:tmpl w:val="222662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E617FA"/>
    <w:multiLevelType w:val="multilevel"/>
    <w:tmpl w:val="057A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A515B"/>
    <w:multiLevelType w:val="hybridMultilevel"/>
    <w:tmpl w:val="912260AE"/>
    <w:lvl w:ilvl="0" w:tplc="8E0A81BC">
      <w:numFmt w:val="bullet"/>
      <w:lvlText w:val="-"/>
      <w:lvlJc w:val="left"/>
      <w:pPr>
        <w:ind w:left="720" w:hanging="360"/>
      </w:pPr>
      <w:rPr>
        <w:rFonts w:ascii="Tahoma" w:eastAsia="MS Mincho"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2F0A74"/>
    <w:multiLevelType w:val="multilevel"/>
    <w:tmpl w:val="8FDA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7367E"/>
    <w:multiLevelType w:val="multilevel"/>
    <w:tmpl w:val="8B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C322D"/>
    <w:multiLevelType w:val="hybridMultilevel"/>
    <w:tmpl w:val="0060DA14"/>
    <w:lvl w:ilvl="0" w:tplc="2F0094C0">
      <w:start w:val="4"/>
      <w:numFmt w:val="bullet"/>
      <w:lvlText w:val="-"/>
      <w:lvlJc w:val="left"/>
      <w:pPr>
        <w:ind w:left="720" w:hanging="360"/>
      </w:pPr>
      <w:rPr>
        <w:rFonts w:ascii="Tahoma" w:eastAsia="Calibr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37118D"/>
    <w:multiLevelType w:val="multilevel"/>
    <w:tmpl w:val="E996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10576"/>
    <w:multiLevelType w:val="multilevel"/>
    <w:tmpl w:val="6D04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E0953"/>
    <w:multiLevelType w:val="multilevel"/>
    <w:tmpl w:val="AF7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B400E"/>
    <w:multiLevelType w:val="hybridMultilevel"/>
    <w:tmpl w:val="7CBA531A"/>
    <w:lvl w:ilvl="0" w:tplc="57B29AF0">
      <w:numFmt w:val="bullet"/>
      <w:lvlText w:val="-"/>
      <w:lvlJc w:val="left"/>
      <w:pPr>
        <w:ind w:left="720" w:hanging="360"/>
      </w:pPr>
      <w:rPr>
        <w:rFonts w:ascii="Tahoma" w:eastAsia="MS Mincho"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D7A6949"/>
    <w:multiLevelType w:val="multilevel"/>
    <w:tmpl w:val="CBB6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F5022"/>
    <w:multiLevelType w:val="multilevel"/>
    <w:tmpl w:val="02B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012B7"/>
    <w:multiLevelType w:val="multilevel"/>
    <w:tmpl w:val="3F7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0B2B56"/>
    <w:multiLevelType w:val="multilevel"/>
    <w:tmpl w:val="5C4A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307D1"/>
    <w:multiLevelType w:val="multilevel"/>
    <w:tmpl w:val="3AE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10EA4"/>
    <w:multiLevelType w:val="hybridMultilevel"/>
    <w:tmpl w:val="66ECC37E"/>
    <w:lvl w:ilvl="0" w:tplc="863E77D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8827413"/>
    <w:multiLevelType w:val="multilevel"/>
    <w:tmpl w:val="8140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53386"/>
    <w:multiLevelType w:val="multilevel"/>
    <w:tmpl w:val="D784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473715">
    <w:abstractNumId w:val="6"/>
  </w:num>
  <w:num w:numId="2" w16cid:durableId="1373652049">
    <w:abstractNumId w:val="10"/>
  </w:num>
  <w:num w:numId="3" w16cid:durableId="196159189">
    <w:abstractNumId w:val="3"/>
  </w:num>
  <w:num w:numId="4" w16cid:durableId="330839908">
    <w:abstractNumId w:val="7"/>
  </w:num>
  <w:num w:numId="5" w16cid:durableId="447773205">
    <w:abstractNumId w:val="4"/>
  </w:num>
  <w:num w:numId="6" w16cid:durableId="1236009248">
    <w:abstractNumId w:val="9"/>
  </w:num>
  <w:num w:numId="7" w16cid:durableId="370307359">
    <w:abstractNumId w:val="8"/>
  </w:num>
  <w:num w:numId="8" w16cid:durableId="1693069718">
    <w:abstractNumId w:val="18"/>
  </w:num>
  <w:num w:numId="9" w16cid:durableId="845438747">
    <w:abstractNumId w:val="2"/>
  </w:num>
  <w:num w:numId="10" w16cid:durableId="736628851">
    <w:abstractNumId w:val="14"/>
  </w:num>
  <w:num w:numId="11" w16cid:durableId="1836647200">
    <w:abstractNumId w:val="17"/>
  </w:num>
  <w:num w:numId="12" w16cid:durableId="1814180844">
    <w:abstractNumId w:val="0"/>
  </w:num>
  <w:num w:numId="13" w16cid:durableId="229924872">
    <w:abstractNumId w:val="5"/>
  </w:num>
  <w:num w:numId="14" w16cid:durableId="781073947">
    <w:abstractNumId w:val="11"/>
  </w:num>
  <w:num w:numId="15" w16cid:durableId="1194228292">
    <w:abstractNumId w:val="13"/>
  </w:num>
  <w:num w:numId="16" w16cid:durableId="178782837">
    <w:abstractNumId w:val="12"/>
  </w:num>
  <w:num w:numId="17" w16cid:durableId="1301956503">
    <w:abstractNumId w:val="15"/>
  </w:num>
  <w:num w:numId="18" w16cid:durableId="1337422897">
    <w:abstractNumId w:val="16"/>
  </w:num>
  <w:num w:numId="19" w16cid:durableId="1252809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79"/>
    <w:rsid w:val="000001D4"/>
    <w:rsid w:val="000003DD"/>
    <w:rsid w:val="00001C8D"/>
    <w:rsid w:val="00001CCF"/>
    <w:rsid w:val="00003C61"/>
    <w:rsid w:val="00004B38"/>
    <w:rsid w:val="00010FDD"/>
    <w:rsid w:val="000115F8"/>
    <w:rsid w:val="00012338"/>
    <w:rsid w:val="00012EEC"/>
    <w:rsid w:val="00020AE7"/>
    <w:rsid w:val="0002110A"/>
    <w:rsid w:val="00021A26"/>
    <w:rsid w:val="00022DB3"/>
    <w:rsid w:val="00024A6F"/>
    <w:rsid w:val="000263E8"/>
    <w:rsid w:val="0003053F"/>
    <w:rsid w:val="00030D67"/>
    <w:rsid w:val="00030DFB"/>
    <w:rsid w:val="00031307"/>
    <w:rsid w:val="00035A1A"/>
    <w:rsid w:val="00035C4F"/>
    <w:rsid w:val="00035DA2"/>
    <w:rsid w:val="00035F40"/>
    <w:rsid w:val="00035F84"/>
    <w:rsid w:val="00036CC1"/>
    <w:rsid w:val="00037361"/>
    <w:rsid w:val="00037DB6"/>
    <w:rsid w:val="000434C8"/>
    <w:rsid w:val="000443F4"/>
    <w:rsid w:val="00045F0B"/>
    <w:rsid w:val="00055FC1"/>
    <w:rsid w:val="00057BC1"/>
    <w:rsid w:val="0006340D"/>
    <w:rsid w:val="00064474"/>
    <w:rsid w:val="0006534D"/>
    <w:rsid w:val="0006614B"/>
    <w:rsid w:val="00071587"/>
    <w:rsid w:val="00073C1A"/>
    <w:rsid w:val="00073D6D"/>
    <w:rsid w:val="00075781"/>
    <w:rsid w:val="000762CC"/>
    <w:rsid w:val="00076D78"/>
    <w:rsid w:val="00077C80"/>
    <w:rsid w:val="00080010"/>
    <w:rsid w:val="00080ECF"/>
    <w:rsid w:val="000812AF"/>
    <w:rsid w:val="00083EF7"/>
    <w:rsid w:val="00084242"/>
    <w:rsid w:val="0008514A"/>
    <w:rsid w:val="0009077E"/>
    <w:rsid w:val="0009101F"/>
    <w:rsid w:val="0009452A"/>
    <w:rsid w:val="00096FCC"/>
    <w:rsid w:val="00097857"/>
    <w:rsid w:val="000A2474"/>
    <w:rsid w:val="000A2522"/>
    <w:rsid w:val="000A31D6"/>
    <w:rsid w:val="000A5A72"/>
    <w:rsid w:val="000A5EFC"/>
    <w:rsid w:val="000A6B14"/>
    <w:rsid w:val="000A7464"/>
    <w:rsid w:val="000B0130"/>
    <w:rsid w:val="000B0E97"/>
    <w:rsid w:val="000B186A"/>
    <w:rsid w:val="000B237D"/>
    <w:rsid w:val="000B28BC"/>
    <w:rsid w:val="000B4583"/>
    <w:rsid w:val="000B4B56"/>
    <w:rsid w:val="000B50A7"/>
    <w:rsid w:val="000B6785"/>
    <w:rsid w:val="000B7FC3"/>
    <w:rsid w:val="000C03B3"/>
    <w:rsid w:val="000C069D"/>
    <w:rsid w:val="000C0F6D"/>
    <w:rsid w:val="000C1049"/>
    <w:rsid w:val="000C1587"/>
    <w:rsid w:val="000C24A3"/>
    <w:rsid w:val="000C26A7"/>
    <w:rsid w:val="000C2E17"/>
    <w:rsid w:val="000C3917"/>
    <w:rsid w:val="000C45E7"/>
    <w:rsid w:val="000C5EC2"/>
    <w:rsid w:val="000C6BC5"/>
    <w:rsid w:val="000C786B"/>
    <w:rsid w:val="000C78CE"/>
    <w:rsid w:val="000D17F5"/>
    <w:rsid w:val="000D186A"/>
    <w:rsid w:val="000D42F3"/>
    <w:rsid w:val="000D48DA"/>
    <w:rsid w:val="000D6215"/>
    <w:rsid w:val="000D6A6D"/>
    <w:rsid w:val="000E0FD0"/>
    <w:rsid w:val="000E15A5"/>
    <w:rsid w:val="000E1D85"/>
    <w:rsid w:val="000E2084"/>
    <w:rsid w:val="000E247E"/>
    <w:rsid w:val="000E34B0"/>
    <w:rsid w:val="000E3A7D"/>
    <w:rsid w:val="000E5855"/>
    <w:rsid w:val="000E658E"/>
    <w:rsid w:val="000E6D2A"/>
    <w:rsid w:val="000F1EC4"/>
    <w:rsid w:val="000F3232"/>
    <w:rsid w:val="000F49C8"/>
    <w:rsid w:val="000F4E31"/>
    <w:rsid w:val="000F5CA4"/>
    <w:rsid w:val="000F615B"/>
    <w:rsid w:val="00100C06"/>
    <w:rsid w:val="00103DD6"/>
    <w:rsid w:val="001051B5"/>
    <w:rsid w:val="00105BBD"/>
    <w:rsid w:val="00107568"/>
    <w:rsid w:val="00112216"/>
    <w:rsid w:val="00113173"/>
    <w:rsid w:val="00113989"/>
    <w:rsid w:val="00113FBF"/>
    <w:rsid w:val="001170BC"/>
    <w:rsid w:val="00117BFA"/>
    <w:rsid w:val="00120436"/>
    <w:rsid w:val="001229FF"/>
    <w:rsid w:val="0012357D"/>
    <w:rsid w:val="001240D4"/>
    <w:rsid w:val="00124EE2"/>
    <w:rsid w:val="00125B70"/>
    <w:rsid w:val="001271FE"/>
    <w:rsid w:val="001320A5"/>
    <w:rsid w:val="001333AB"/>
    <w:rsid w:val="0013356B"/>
    <w:rsid w:val="00134095"/>
    <w:rsid w:val="001342D5"/>
    <w:rsid w:val="00135712"/>
    <w:rsid w:val="001361EC"/>
    <w:rsid w:val="00137BA2"/>
    <w:rsid w:val="001409F1"/>
    <w:rsid w:val="00141256"/>
    <w:rsid w:val="00141AD5"/>
    <w:rsid w:val="00143C7C"/>
    <w:rsid w:val="00144820"/>
    <w:rsid w:val="00146781"/>
    <w:rsid w:val="00146ED6"/>
    <w:rsid w:val="00147A90"/>
    <w:rsid w:val="00147EFA"/>
    <w:rsid w:val="001503FA"/>
    <w:rsid w:val="00153A65"/>
    <w:rsid w:val="00154A82"/>
    <w:rsid w:val="00155806"/>
    <w:rsid w:val="001572F7"/>
    <w:rsid w:val="00157F15"/>
    <w:rsid w:val="001604B3"/>
    <w:rsid w:val="00161F17"/>
    <w:rsid w:val="00162146"/>
    <w:rsid w:val="001651C3"/>
    <w:rsid w:val="001655A5"/>
    <w:rsid w:val="001658A9"/>
    <w:rsid w:val="001670DA"/>
    <w:rsid w:val="001679D9"/>
    <w:rsid w:val="0017077C"/>
    <w:rsid w:val="00171A49"/>
    <w:rsid w:val="00175CE2"/>
    <w:rsid w:val="00176142"/>
    <w:rsid w:val="00176C60"/>
    <w:rsid w:val="00177E84"/>
    <w:rsid w:val="00180194"/>
    <w:rsid w:val="001823E8"/>
    <w:rsid w:val="00182C2C"/>
    <w:rsid w:val="00182F2A"/>
    <w:rsid w:val="0018491B"/>
    <w:rsid w:val="0018523C"/>
    <w:rsid w:val="001877BF"/>
    <w:rsid w:val="001901F8"/>
    <w:rsid w:val="00191E8D"/>
    <w:rsid w:val="001939A0"/>
    <w:rsid w:val="00194639"/>
    <w:rsid w:val="001953BF"/>
    <w:rsid w:val="00195684"/>
    <w:rsid w:val="00197E77"/>
    <w:rsid w:val="001A1C4E"/>
    <w:rsid w:val="001A1F0A"/>
    <w:rsid w:val="001A61D3"/>
    <w:rsid w:val="001A708E"/>
    <w:rsid w:val="001A7A59"/>
    <w:rsid w:val="001B162F"/>
    <w:rsid w:val="001B1EF6"/>
    <w:rsid w:val="001B22D2"/>
    <w:rsid w:val="001B5AE5"/>
    <w:rsid w:val="001B5C6E"/>
    <w:rsid w:val="001C0CF6"/>
    <w:rsid w:val="001C2A66"/>
    <w:rsid w:val="001C3974"/>
    <w:rsid w:val="001C458B"/>
    <w:rsid w:val="001C55E7"/>
    <w:rsid w:val="001C62AC"/>
    <w:rsid w:val="001D50CB"/>
    <w:rsid w:val="001D6B62"/>
    <w:rsid w:val="001D7BF0"/>
    <w:rsid w:val="001E09EB"/>
    <w:rsid w:val="001E16C4"/>
    <w:rsid w:val="001E23DE"/>
    <w:rsid w:val="001E2DD1"/>
    <w:rsid w:val="001E3004"/>
    <w:rsid w:val="001E518D"/>
    <w:rsid w:val="001E5BBC"/>
    <w:rsid w:val="001E5F97"/>
    <w:rsid w:val="001E6FEC"/>
    <w:rsid w:val="001E7DA3"/>
    <w:rsid w:val="001F00C0"/>
    <w:rsid w:val="001F0BB5"/>
    <w:rsid w:val="001F0BCF"/>
    <w:rsid w:val="001F3AD0"/>
    <w:rsid w:val="001F4E77"/>
    <w:rsid w:val="001F5918"/>
    <w:rsid w:val="001F64C0"/>
    <w:rsid w:val="00202055"/>
    <w:rsid w:val="0020238E"/>
    <w:rsid w:val="00202929"/>
    <w:rsid w:val="0020306E"/>
    <w:rsid w:val="00203CCB"/>
    <w:rsid w:val="00205B72"/>
    <w:rsid w:val="002078BD"/>
    <w:rsid w:val="00210B2B"/>
    <w:rsid w:val="00210FB3"/>
    <w:rsid w:val="00211B7F"/>
    <w:rsid w:val="0021220B"/>
    <w:rsid w:val="00214181"/>
    <w:rsid w:val="00214D51"/>
    <w:rsid w:val="00215370"/>
    <w:rsid w:val="00215547"/>
    <w:rsid w:val="002175A6"/>
    <w:rsid w:val="00220859"/>
    <w:rsid w:val="00221CF9"/>
    <w:rsid w:val="00221F52"/>
    <w:rsid w:val="00222452"/>
    <w:rsid w:val="00222777"/>
    <w:rsid w:val="002229F7"/>
    <w:rsid w:val="002235D4"/>
    <w:rsid w:val="0022436F"/>
    <w:rsid w:val="002269F8"/>
    <w:rsid w:val="002271EE"/>
    <w:rsid w:val="00227B06"/>
    <w:rsid w:val="00230692"/>
    <w:rsid w:val="00231BF8"/>
    <w:rsid w:val="00232041"/>
    <w:rsid w:val="002341CF"/>
    <w:rsid w:val="00235E75"/>
    <w:rsid w:val="002417E6"/>
    <w:rsid w:val="002432D1"/>
    <w:rsid w:val="002461D7"/>
    <w:rsid w:val="00250659"/>
    <w:rsid w:val="002548A4"/>
    <w:rsid w:val="00254AD3"/>
    <w:rsid w:val="00254DD9"/>
    <w:rsid w:val="00256268"/>
    <w:rsid w:val="00261008"/>
    <w:rsid w:val="002652D8"/>
    <w:rsid w:val="0026575F"/>
    <w:rsid w:val="00266ADC"/>
    <w:rsid w:val="0026796E"/>
    <w:rsid w:val="00267A1D"/>
    <w:rsid w:val="00272C61"/>
    <w:rsid w:val="00272FA6"/>
    <w:rsid w:val="00273F00"/>
    <w:rsid w:val="002745A0"/>
    <w:rsid w:val="00275C11"/>
    <w:rsid w:val="00280945"/>
    <w:rsid w:val="00285B6B"/>
    <w:rsid w:val="00287309"/>
    <w:rsid w:val="002908B4"/>
    <w:rsid w:val="002926F5"/>
    <w:rsid w:val="00293240"/>
    <w:rsid w:val="00293EAC"/>
    <w:rsid w:val="00294E9D"/>
    <w:rsid w:val="002A18A3"/>
    <w:rsid w:val="002A1B85"/>
    <w:rsid w:val="002A3548"/>
    <w:rsid w:val="002A35A4"/>
    <w:rsid w:val="002A3876"/>
    <w:rsid w:val="002A3AD9"/>
    <w:rsid w:val="002A4925"/>
    <w:rsid w:val="002A7B2E"/>
    <w:rsid w:val="002B10E6"/>
    <w:rsid w:val="002B16E7"/>
    <w:rsid w:val="002B1BFD"/>
    <w:rsid w:val="002B39A3"/>
    <w:rsid w:val="002B4876"/>
    <w:rsid w:val="002B57EF"/>
    <w:rsid w:val="002B6F76"/>
    <w:rsid w:val="002C17B9"/>
    <w:rsid w:val="002C1CBE"/>
    <w:rsid w:val="002C34D8"/>
    <w:rsid w:val="002C41C1"/>
    <w:rsid w:val="002C486E"/>
    <w:rsid w:val="002C5894"/>
    <w:rsid w:val="002C6559"/>
    <w:rsid w:val="002C76FE"/>
    <w:rsid w:val="002C78F4"/>
    <w:rsid w:val="002D0C39"/>
    <w:rsid w:val="002D3ABF"/>
    <w:rsid w:val="002D4EC2"/>
    <w:rsid w:val="002D5930"/>
    <w:rsid w:val="002D5C90"/>
    <w:rsid w:val="002D735E"/>
    <w:rsid w:val="002E1C3D"/>
    <w:rsid w:val="002E3348"/>
    <w:rsid w:val="002E3817"/>
    <w:rsid w:val="002E404E"/>
    <w:rsid w:val="002E5A1F"/>
    <w:rsid w:val="002E62E1"/>
    <w:rsid w:val="002E634A"/>
    <w:rsid w:val="002E7197"/>
    <w:rsid w:val="002E7660"/>
    <w:rsid w:val="002E7685"/>
    <w:rsid w:val="002F0C42"/>
    <w:rsid w:val="002F17C6"/>
    <w:rsid w:val="002F3A44"/>
    <w:rsid w:val="002F4C94"/>
    <w:rsid w:val="002F4E62"/>
    <w:rsid w:val="002F6FE4"/>
    <w:rsid w:val="002F7E18"/>
    <w:rsid w:val="00300072"/>
    <w:rsid w:val="00300DC0"/>
    <w:rsid w:val="00302C2C"/>
    <w:rsid w:val="00302D15"/>
    <w:rsid w:val="003031EF"/>
    <w:rsid w:val="00303A74"/>
    <w:rsid w:val="00304C97"/>
    <w:rsid w:val="00305C9B"/>
    <w:rsid w:val="0030659C"/>
    <w:rsid w:val="00312FF4"/>
    <w:rsid w:val="003177C3"/>
    <w:rsid w:val="003229E0"/>
    <w:rsid w:val="00322AF8"/>
    <w:rsid w:val="00323088"/>
    <w:rsid w:val="00336FA9"/>
    <w:rsid w:val="00337340"/>
    <w:rsid w:val="00344096"/>
    <w:rsid w:val="00344996"/>
    <w:rsid w:val="00346B85"/>
    <w:rsid w:val="00347EC1"/>
    <w:rsid w:val="0035061F"/>
    <w:rsid w:val="003521D0"/>
    <w:rsid w:val="00354779"/>
    <w:rsid w:val="00355806"/>
    <w:rsid w:val="0036075E"/>
    <w:rsid w:val="00361A45"/>
    <w:rsid w:val="003639FD"/>
    <w:rsid w:val="00366CB3"/>
    <w:rsid w:val="003736E5"/>
    <w:rsid w:val="00374616"/>
    <w:rsid w:val="0037480B"/>
    <w:rsid w:val="00374D6F"/>
    <w:rsid w:val="003751C5"/>
    <w:rsid w:val="00381BC5"/>
    <w:rsid w:val="00382871"/>
    <w:rsid w:val="003828D2"/>
    <w:rsid w:val="00382C3C"/>
    <w:rsid w:val="003834AE"/>
    <w:rsid w:val="00384D96"/>
    <w:rsid w:val="00386C9A"/>
    <w:rsid w:val="00386CDF"/>
    <w:rsid w:val="00391044"/>
    <w:rsid w:val="003945D5"/>
    <w:rsid w:val="00395975"/>
    <w:rsid w:val="00395C4A"/>
    <w:rsid w:val="003962B9"/>
    <w:rsid w:val="0039740A"/>
    <w:rsid w:val="0039759B"/>
    <w:rsid w:val="00397F46"/>
    <w:rsid w:val="003A0307"/>
    <w:rsid w:val="003A1397"/>
    <w:rsid w:val="003A1D58"/>
    <w:rsid w:val="003A3625"/>
    <w:rsid w:val="003A4337"/>
    <w:rsid w:val="003A6238"/>
    <w:rsid w:val="003B0B0E"/>
    <w:rsid w:val="003B29A7"/>
    <w:rsid w:val="003B2C44"/>
    <w:rsid w:val="003B5DF1"/>
    <w:rsid w:val="003B6D7E"/>
    <w:rsid w:val="003B7B20"/>
    <w:rsid w:val="003C1E83"/>
    <w:rsid w:val="003C25A0"/>
    <w:rsid w:val="003C2F77"/>
    <w:rsid w:val="003C309F"/>
    <w:rsid w:val="003C47FE"/>
    <w:rsid w:val="003C6268"/>
    <w:rsid w:val="003C6621"/>
    <w:rsid w:val="003D062E"/>
    <w:rsid w:val="003D2236"/>
    <w:rsid w:val="003D4528"/>
    <w:rsid w:val="003E1BDC"/>
    <w:rsid w:val="003E3836"/>
    <w:rsid w:val="003E4863"/>
    <w:rsid w:val="003E4B9F"/>
    <w:rsid w:val="003E695A"/>
    <w:rsid w:val="003E71CE"/>
    <w:rsid w:val="003E7B5F"/>
    <w:rsid w:val="003F0944"/>
    <w:rsid w:val="003F09FB"/>
    <w:rsid w:val="003F15E0"/>
    <w:rsid w:val="003F18B4"/>
    <w:rsid w:val="003F54AD"/>
    <w:rsid w:val="003F57C4"/>
    <w:rsid w:val="003F718B"/>
    <w:rsid w:val="0040177F"/>
    <w:rsid w:val="00403C9C"/>
    <w:rsid w:val="00404E38"/>
    <w:rsid w:val="004052E8"/>
    <w:rsid w:val="0040640E"/>
    <w:rsid w:val="00410544"/>
    <w:rsid w:val="00410D7D"/>
    <w:rsid w:val="00411C3B"/>
    <w:rsid w:val="0041375D"/>
    <w:rsid w:val="00413C3A"/>
    <w:rsid w:val="00414ADA"/>
    <w:rsid w:val="00414D97"/>
    <w:rsid w:val="00415183"/>
    <w:rsid w:val="00416F82"/>
    <w:rsid w:val="00417958"/>
    <w:rsid w:val="00417980"/>
    <w:rsid w:val="00420BEF"/>
    <w:rsid w:val="00424F51"/>
    <w:rsid w:val="00426390"/>
    <w:rsid w:val="004269E5"/>
    <w:rsid w:val="00426BC5"/>
    <w:rsid w:val="0043000A"/>
    <w:rsid w:val="00430BD3"/>
    <w:rsid w:val="0043143D"/>
    <w:rsid w:val="00431883"/>
    <w:rsid w:val="0043200D"/>
    <w:rsid w:val="004339B9"/>
    <w:rsid w:val="00436306"/>
    <w:rsid w:val="004439F0"/>
    <w:rsid w:val="004439F1"/>
    <w:rsid w:val="00443C90"/>
    <w:rsid w:val="004451A5"/>
    <w:rsid w:val="00451A1B"/>
    <w:rsid w:val="0045308D"/>
    <w:rsid w:val="0045352F"/>
    <w:rsid w:val="00453AAE"/>
    <w:rsid w:val="0045411A"/>
    <w:rsid w:val="004564D3"/>
    <w:rsid w:val="00461A2F"/>
    <w:rsid w:val="0046696A"/>
    <w:rsid w:val="00467023"/>
    <w:rsid w:val="0046771C"/>
    <w:rsid w:val="004702C7"/>
    <w:rsid w:val="00470BA0"/>
    <w:rsid w:val="00471059"/>
    <w:rsid w:val="004712E0"/>
    <w:rsid w:val="00471D8A"/>
    <w:rsid w:val="0047263E"/>
    <w:rsid w:val="00472939"/>
    <w:rsid w:val="00472AC1"/>
    <w:rsid w:val="004731A2"/>
    <w:rsid w:val="00473286"/>
    <w:rsid w:val="00474D50"/>
    <w:rsid w:val="00477965"/>
    <w:rsid w:val="00480C74"/>
    <w:rsid w:val="004816BA"/>
    <w:rsid w:val="00482331"/>
    <w:rsid w:val="00482DCA"/>
    <w:rsid w:val="004854D1"/>
    <w:rsid w:val="00486CBB"/>
    <w:rsid w:val="00486EF7"/>
    <w:rsid w:val="004878F0"/>
    <w:rsid w:val="0049094E"/>
    <w:rsid w:val="00491EC5"/>
    <w:rsid w:val="0049339A"/>
    <w:rsid w:val="00494787"/>
    <w:rsid w:val="004966A6"/>
    <w:rsid w:val="004976DD"/>
    <w:rsid w:val="004A0651"/>
    <w:rsid w:val="004A1794"/>
    <w:rsid w:val="004A363D"/>
    <w:rsid w:val="004A3A53"/>
    <w:rsid w:val="004A4693"/>
    <w:rsid w:val="004A52C7"/>
    <w:rsid w:val="004A6D2F"/>
    <w:rsid w:val="004A75B0"/>
    <w:rsid w:val="004A7FD2"/>
    <w:rsid w:val="004B143F"/>
    <w:rsid w:val="004B1CFA"/>
    <w:rsid w:val="004B272A"/>
    <w:rsid w:val="004B2B5C"/>
    <w:rsid w:val="004B37C1"/>
    <w:rsid w:val="004B62DC"/>
    <w:rsid w:val="004B783D"/>
    <w:rsid w:val="004B7A04"/>
    <w:rsid w:val="004C37F4"/>
    <w:rsid w:val="004C3F3C"/>
    <w:rsid w:val="004C4251"/>
    <w:rsid w:val="004C494E"/>
    <w:rsid w:val="004C49D5"/>
    <w:rsid w:val="004C5106"/>
    <w:rsid w:val="004C5AD2"/>
    <w:rsid w:val="004C6134"/>
    <w:rsid w:val="004C69C1"/>
    <w:rsid w:val="004D08E0"/>
    <w:rsid w:val="004D24FD"/>
    <w:rsid w:val="004D2B4E"/>
    <w:rsid w:val="004D2D4F"/>
    <w:rsid w:val="004D51EB"/>
    <w:rsid w:val="004D65CF"/>
    <w:rsid w:val="004E04F4"/>
    <w:rsid w:val="004E30FE"/>
    <w:rsid w:val="004E3F5B"/>
    <w:rsid w:val="004E4ADC"/>
    <w:rsid w:val="004E528A"/>
    <w:rsid w:val="004E5390"/>
    <w:rsid w:val="004E6E29"/>
    <w:rsid w:val="004F0632"/>
    <w:rsid w:val="004F171E"/>
    <w:rsid w:val="004F272A"/>
    <w:rsid w:val="004F5A98"/>
    <w:rsid w:val="004F5EEF"/>
    <w:rsid w:val="004F66C2"/>
    <w:rsid w:val="004F693F"/>
    <w:rsid w:val="004F7653"/>
    <w:rsid w:val="005008AC"/>
    <w:rsid w:val="00502303"/>
    <w:rsid w:val="005051B8"/>
    <w:rsid w:val="00507EE7"/>
    <w:rsid w:val="0051038A"/>
    <w:rsid w:val="005112D7"/>
    <w:rsid w:val="00511F4F"/>
    <w:rsid w:val="005130CD"/>
    <w:rsid w:val="00514D71"/>
    <w:rsid w:val="00516625"/>
    <w:rsid w:val="0051750A"/>
    <w:rsid w:val="0052173E"/>
    <w:rsid w:val="00522194"/>
    <w:rsid w:val="005232C8"/>
    <w:rsid w:val="005234F0"/>
    <w:rsid w:val="005277CB"/>
    <w:rsid w:val="00532D42"/>
    <w:rsid w:val="00535C9D"/>
    <w:rsid w:val="00541D60"/>
    <w:rsid w:val="005423E5"/>
    <w:rsid w:val="005454D4"/>
    <w:rsid w:val="00547AE1"/>
    <w:rsid w:val="00551C2D"/>
    <w:rsid w:val="00553F1F"/>
    <w:rsid w:val="005550E4"/>
    <w:rsid w:val="0055684A"/>
    <w:rsid w:val="005618F8"/>
    <w:rsid w:val="005623D9"/>
    <w:rsid w:val="0056274E"/>
    <w:rsid w:val="0056408F"/>
    <w:rsid w:val="00564576"/>
    <w:rsid w:val="00566D53"/>
    <w:rsid w:val="0057075A"/>
    <w:rsid w:val="005731C3"/>
    <w:rsid w:val="00575696"/>
    <w:rsid w:val="00576530"/>
    <w:rsid w:val="00576E32"/>
    <w:rsid w:val="00581C13"/>
    <w:rsid w:val="00582109"/>
    <w:rsid w:val="0058407C"/>
    <w:rsid w:val="00585F41"/>
    <w:rsid w:val="005864ED"/>
    <w:rsid w:val="00587943"/>
    <w:rsid w:val="005908DE"/>
    <w:rsid w:val="0059115B"/>
    <w:rsid w:val="005956BA"/>
    <w:rsid w:val="005960F2"/>
    <w:rsid w:val="00597346"/>
    <w:rsid w:val="005A0C06"/>
    <w:rsid w:val="005A11E2"/>
    <w:rsid w:val="005A327E"/>
    <w:rsid w:val="005A5C5B"/>
    <w:rsid w:val="005A6749"/>
    <w:rsid w:val="005B0C6E"/>
    <w:rsid w:val="005B235E"/>
    <w:rsid w:val="005B4678"/>
    <w:rsid w:val="005B490A"/>
    <w:rsid w:val="005B5AC1"/>
    <w:rsid w:val="005B60F3"/>
    <w:rsid w:val="005B648D"/>
    <w:rsid w:val="005B70AD"/>
    <w:rsid w:val="005B77A4"/>
    <w:rsid w:val="005B79D7"/>
    <w:rsid w:val="005C029D"/>
    <w:rsid w:val="005C24F0"/>
    <w:rsid w:val="005C4118"/>
    <w:rsid w:val="005C484C"/>
    <w:rsid w:val="005C4A77"/>
    <w:rsid w:val="005C4EA4"/>
    <w:rsid w:val="005C5D8E"/>
    <w:rsid w:val="005C7324"/>
    <w:rsid w:val="005D5985"/>
    <w:rsid w:val="005D5DD3"/>
    <w:rsid w:val="005D614C"/>
    <w:rsid w:val="005D6632"/>
    <w:rsid w:val="005E0F1E"/>
    <w:rsid w:val="005E1D89"/>
    <w:rsid w:val="005E3E60"/>
    <w:rsid w:val="005E51DF"/>
    <w:rsid w:val="005E6582"/>
    <w:rsid w:val="005E7300"/>
    <w:rsid w:val="005E7B72"/>
    <w:rsid w:val="005F6941"/>
    <w:rsid w:val="006022FC"/>
    <w:rsid w:val="00602930"/>
    <w:rsid w:val="00602F18"/>
    <w:rsid w:val="00605CD2"/>
    <w:rsid w:val="00606A6E"/>
    <w:rsid w:val="006075F6"/>
    <w:rsid w:val="00607F27"/>
    <w:rsid w:val="00611A25"/>
    <w:rsid w:val="0061420F"/>
    <w:rsid w:val="00614E0B"/>
    <w:rsid w:val="006156E2"/>
    <w:rsid w:val="006163BB"/>
    <w:rsid w:val="006211AD"/>
    <w:rsid w:val="00621F2F"/>
    <w:rsid w:val="00622167"/>
    <w:rsid w:val="00622B47"/>
    <w:rsid w:val="006231DB"/>
    <w:rsid w:val="006235F5"/>
    <w:rsid w:val="006236A8"/>
    <w:rsid w:val="006243EA"/>
    <w:rsid w:val="00624CF3"/>
    <w:rsid w:val="00627175"/>
    <w:rsid w:val="00627A08"/>
    <w:rsid w:val="006323BD"/>
    <w:rsid w:val="00634A5C"/>
    <w:rsid w:val="00635BCE"/>
    <w:rsid w:val="0063622B"/>
    <w:rsid w:val="00636DC4"/>
    <w:rsid w:val="00640BAF"/>
    <w:rsid w:val="0064139B"/>
    <w:rsid w:val="0064160B"/>
    <w:rsid w:val="00641FB9"/>
    <w:rsid w:val="006420D1"/>
    <w:rsid w:val="00644183"/>
    <w:rsid w:val="00645DFF"/>
    <w:rsid w:val="00646C5A"/>
    <w:rsid w:val="00647B6D"/>
    <w:rsid w:val="00650634"/>
    <w:rsid w:val="006522F4"/>
    <w:rsid w:val="006563D9"/>
    <w:rsid w:val="00656D5D"/>
    <w:rsid w:val="00657BBE"/>
    <w:rsid w:val="00660B46"/>
    <w:rsid w:val="00660CA1"/>
    <w:rsid w:val="00660D16"/>
    <w:rsid w:val="006611D3"/>
    <w:rsid w:val="0066137B"/>
    <w:rsid w:val="00661E36"/>
    <w:rsid w:val="00662459"/>
    <w:rsid w:val="00663990"/>
    <w:rsid w:val="00664F9B"/>
    <w:rsid w:val="00665AE5"/>
    <w:rsid w:val="00665E1C"/>
    <w:rsid w:val="006675B1"/>
    <w:rsid w:val="00670D6F"/>
    <w:rsid w:val="00672444"/>
    <w:rsid w:val="006742E6"/>
    <w:rsid w:val="00681072"/>
    <w:rsid w:val="0068181C"/>
    <w:rsid w:val="0068467D"/>
    <w:rsid w:val="00684A3A"/>
    <w:rsid w:val="0068586F"/>
    <w:rsid w:val="006862B4"/>
    <w:rsid w:val="006873D1"/>
    <w:rsid w:val="00690746"/>
    <w:rsid w:val="00691FF2"/>
    <w:rsid w:val="00694227"/>
    <w:rsid w:val="0069499A"/>
    <w:rsid w:val="00696C3C"/>
    <w:rsid w:val="00696E63"/>
    <w:rsid w:val="006A0D47"/>
    <w:rsid w:val="006A21CF"/>
    <w:rsid w:val="006A231B"/>
    <w:rsid w:val="006A2823"/>
    <w:rsid w:val="006A2F39"/>
    <w:rsid w:val="006A3213"/>
    <w:rsid w:val="006A4774"/>
    <w:rsid w:val="006A4D4F"/>
    <w:rsid w:val="006A7E1F"/>
    <w:rsid w:val="006B05D8"/>
    <w:rsid w:val="006B3362"/>
    <w:rsid w:val="006B60B7"/>
    <w:rsid w:val="006B644A"/>
    <w:rsid w:val="006B7639"/>
    <w:rsid w:val="006B7860"/>
    <w:rsid w:val="006C00C0"/>
    <w:rsid w:val="006C012F"/>
    <w:rsid w:val="006C51CD"/>
    <w:rsid w:val="006C6444"/>
    <w:rsid w:val="006D3854"/>
    <w:rsid w:val="006D3865"/>
    <w:rsid w:val="006D3C51"/>
    <w:rsid w:val="006D71DF"/>
    <w:rsid w:val="006D7F51"/>
    <w:rsid w:val="006E0565"/>
    <w:rsid w:val="006E2110"/>
    <w:rsid w:val="006E2E7D"/>
    <w:rsid w:val="006E5BAE"/>
    <w:rsid w:val="006E7B9D"/>
    <w:rsid w:val="006F0374"/>
    <w:rsid w:val="006F040C"/>
    <w:rsid w:val="006F0915"/>
    <w:rsid w:val="006F1819"/>
    <w:rsid w:val="006F3621"/>
    <w:rsid w:val="006F581C"/>
    <w:rsid w:val="006F5FFD"/>
    <w:rsid w:val="006F7CC3"/>
    <w:rsid w:val="0070050E"/>
    <w:rsid w:val="00700D56"/>
    <w:rsid w:val="007027AB"/>
    <w:rsid w:val="0070459C"/>
    <w:rsid w:val="00704F01"/>
    <w:rsid w:val="00707692"/>
    <w:rsid w:val="00707AD5"/>
    <w:rsid w:val="00714006"/>
    <w:rsid w:val="00716550"/>
    <w:rsid w:val="00716695"/>
    <w:rsid w:val="007169A9"/>
    <w:rsid w:val="007171C0"/>
    <w:rsid w:val="00717D1F"/>
    <w:rsid w:val="0072130A"/>
    <w:rsid w:val="00721D09"/>
    <w:rsid w:val="00723ED4"/>
    <w:rsid w:val="0072447F"/>
    <w:rsid w:val="00726419"/>
    <w:rsid w:val="007264EC"/>
    <w:rsid w:val="00730C2B"/>
    <w:rsid w:val="00733F57"/>
    <w:rsid w:val="007352C4"/>
    <w:rsid w:val="00735AC2"/>
    <w:rsid w:val="00735FDF"/>
    <w:rsid w:val="00741AD8"/>
    <w:rsid w:val="00741B85"/>
    <w:rsid w:val="00741F13"/>
    <w:rsid w:val="00742349"/>
    <w:rsid w:val="00743A19"/>
    <w:rsid w:val="00744175"/>
    <w:rsid w:val="00747C54"/>
    <w:rsid w:val="00750EE0"/>
    <w:rsid w:val="007535DE"/>
    <w:rsid w:val="007538D6"/>
    <w:rsid w:val="00755A6F"/>
    <w:rsid w:val="00757089"/>
    <w:rsid w:val="00761133"/>
    <w:rsid w:val="0076173F"/>
    <w:rsid w:val="00761FC3"/>
    <w:rsid w:val="0076273E"/>
    <w:rsid w:val="00766964"/>
    <w:rsid w:val="00767BEA"/>
    <w:rsid w:val="00771CE3"/>
    <w:rsid w:val="0077568D"/>
    <w:rsid w:val="00776FDB"/>
    <w:rsid w:val="007771C0"/>
    <w:rsid w:val="00780488"/>
    <w:rsid w:val="00782BC8"/>
    <w:rsid w:val="007857F3"/>
    <w:rsid w:val="0078692A"/>
    <w:rsid w:val="00787162"/>
    <w:rsid w:val="007904AF"/>
    <w:rsid w:val="007936ED"/>
    <w:rsid w:val="00793BDC"/>
    <w:rsid w:val="00794AEB"/>
    <w:rsid w:val="00795767"/>
    <w:rsid w:val="007A0025"/>
    <w:rsid w:val="007A2A80"/>
    <w:rsid w:val="007A39EC"/>
    <w:rsid w:val="007A5069"/>
    <w:rsid w:val="007A5231"/>
    <w:rsid w:val="007A6766"/>
    <w:rsid w:val="007B066F"/>
    <w:rsid w:val="007B1EF4"/>
    <w:rsid w:val="007B3C7E"/>
    <w:rsid w:val="007B4F00"/>
    <w:rsid w:val="007B602B"/>
    <w:rsid w:val="007B60C6"/>
    <w:rsid w:val="007C076E"/>
    <w:rsid w:val="007C24C0"/>
    <w:rsid w:val="007C2E8E"/>
    <w:rsid w:val="007C4CF8"/>
    <w:rsid w:val="007C5061"/>
    <w:rsid w:val="007C55DB"/>
    <w:rsid w:val="007C586E"/>
    <w:rsid w:val="007C709A"/>
    <w:rsid w:val="007C7177"/>
    <w:rsid w:val="007D11E4"/>
    <w:rsid w:val="007D15EF"/>
    <w:rsid w:val="007D1752"/>
    <w:rsid w:val="007D1E98"/>
    <w:rsid w:val="007D2D15"/>
    <w:rsid w:val="007D3486"/>
    <w:rsid w:val="007D480F"/>
    <w:rsid w:val="007D7CDF"/>
    <w:rsid w:val="007E2E93"/>
    <w:rsid w:val="007E3456"/>
    <w:rsid w:val="007E3870"/>
    <w:rsid w:val="007E5240"/>
    <w:rsid w:val="007E65C6"/>
    <w:rsid w:val="007E65D4"/>
    <w:rsid w:val="007E76B5"/>
    <w:rsid w:val="007E7DF3"/>
    <w:rsid w:val="007F013A"/>
    <w:rsid w:val="007F0C79"/>
    <w:rsid w:val="007F23BC"/>
    <w:rsid w:val="007F2654"/>
    <w:rsid w:val="007F2995"/>
    <w:rsid w:val="007F3E79"/>
    <w:rsid w:val="007F4AD6"/>
    <w:rsid w:val="007F6084"/>
    <w:rsid w:val="007F63BD"/>
    <w:rsid w:val="007F73D2"/>
    <w:rsid w:val="007F7B26"/>
    <w:rsid w:val="007F7E12"/>
    <w:rsid w:val="00800174"/>
    <w:rsid w:val="00801E91"/>
    <w:rsid w:val="00801EAC"/>
    <w:rsid w:val="00801F45"/>
    <w:rsid w:val="00802897"/>
    <w:rsid w:val="008038DD"/>
    <w:rsid w:val="00804C11"/>
    <w:rsid w:val="00805692"/>
    <w:rsid w:val="0080603B"/>
    <w:rsid w:val="00806E15"/>
    <w:rsid w:val="00807594"/>
    <w:rsid w:val="00810D38"/>
    <w:rsid w:val="00811BAC"/>
    <w:rsid w:val="008122F5"/>
    <w:rsid w:val="00814666"/>
    <w:rsid w:val="00820C25"/>
    <w:rsid w:val="00822A94"/>
    <w:rsid w:val="00823208"/>
    <w:rsid w:val="008240C8"/>
    <w:rsid w:val="008253B2"/>
    <w:rsid w:val="0082738B"/>
    <w:rsid w:val="00830394"/>
    <w:rsid w:val="00830B79"/>
    <w:rsid w:val="0083172C"/>
    <w:rsid w:val="0083345B"/>
    <w:rsid w:val="00833B6E"/>
    <w:rsid w:val="008340E0"/>
    <w:rsid w:val="008368D2"/>
    <w:rsid w:val="00840F0E"/>
    <w:rsid w:val="00841EEA"/>
    <w:rsid w:val="0084518E"/>
    <w:rsid w:val="008455D6"/>
    <w:rsid w:val="00845DD7"/>
    <w:rsid w:val="00846651"/>
    <w:rsid w:val="0084708F"/>
    <w:rsid w:val="00847157"/>
    <w:rsid w:val="00851399"/>
    <w:rsid w:val="00851F37"/>
    <w:rsid w:val="0085279E"/>
    <w:rsid w:val="00854A76"/>
    <w:rsid w:val="00861298"/>
    <w:rsid w:val="008622DF"/>
    <w:rsid w:val="0086437F"/>
    <w:rsid w:val="008654AC"/>
    <w:rsid w:val="00865CDB"/>
    <w:rsid w:val="00865DF6"/>
    <w:rsid w:val="00867DA5"/>
    <w:rsid w:val="00867F0F"/>
    <w:rsid w:val="0087111D"/>
    <w:rsid w:val="008737B7"/>
    <w:rsid w:val="00874410"/>
    <w:rsid w:val="00875A72"/>
    <w:rsid w:val="008778C3"/>
    <w:rsid w:val="008802B1"/>
    <w:rsid w:val="00880A04"/>
    <w:rsid w:val="00880B32"/>
    <w:rsid w:val="008811F2"/>
    <w:rsid w:val="00881305"/>
    <w:rsid w:val="00881439"/>
    <w:rsid w:val="00881844"/>
    <w:rsid w:val="00882447"/>
    <w:rsid w:val="0088382C"/>
    <w:rsid w:val="00883845"/>
    <w:rsid w:val="00884F7E"/>
    <w:rsid w:val="00886751"/>
    <w:rsid w:val="00886B0C"/>
    <w:rsid w:val="008870E5"/>
    <w:rsid w:val="00887467"/>
    <w:rsid w:val="008907E4"/>
    <w:rsid w:val="00891F9E"/>
    <w:rsid w:val="00893B4C"/>
    <w:rsid w:val="00893E05"/>
    <w:rsid w:val="0089410B"/>
    <w:rsid w:val="00895164"/>
    <w:rsid w:val="00895D3D"/>
    <w:rsid w:val="008A19CD"/>
    <w:rsid w:val="008A35C7"/>
    <w:rsid w:val="008B0285"/>
    <w:rsid w:val="008B2516"/>
    <w:rsid w:val="008B2D22"/>
    <w:rsid w:val="008B3C11"/>
    <w:rsid w:val="008B40CF"/>
    <w:rsid w:val="008B5FF3"/>
    <w:rsid w:val="008B69D4"/>
    <w:rsid w:val="008B7326"/>
    <w:rsid w:val="008B7854"/>
    <w:rsid w:val="008C1165"/>
    <w:rsid w:val="008C2BD3"/>
    <w:rsid w:val="008C2BDB"/>
    <w:rsid w:val="008C2DB5"/>
    <w:rsid w:val="008C425F"/>
    <w:rsid w:val="008C595E"/>
    <w:rsid w:val="008C6BC0"/>
    <w:rsid w:val="008C6F3C"/>
    <w:rsid w:val="008C7EF4"/>
    <w:rsid w:val="008D0DB7"/>
    <w:rsid w:val="008D0E50"/>
    <w:rsid w:val="008D25EC"/>
    <w:rsid w:val="008D5BB2"/>
    <w:rsid w:val="008D7E62"/>
    <w:rsid w:val="008E035D"/>
    <w:rsid w:val="008E0AB9"/>
    <w:rsid w:val="008E2117"/>
    <w:rsid w:val="008E26E1"/>
    <w:rsid w:val="008E3C75"/>
    <w:rsid w:val="008E6954"/>
    <w:rsid w:val="008F2F7B"/>
    <w:rsid w:val="008F3824"/>
    <w:rsid w:val="008F45C3"/>
    <w:rsid w:val="008F4768"/>
    <w:rsid w:val="008F4994"/>
    <w:rsid w:val="008F6C6F"/>
    <w:rsid w:val="008F6F92"/>
    <w:rsid w:val="00900488"/>
    <w:rsid w:val="00901075"/>
    <w:rsid w:val="00901141"/>
    <w:rsid w:val="00901605"/>
    <w:rsid w:val="00902411"/>
    <w:rsid w:val="009038A9"/>
    <w:rsid w:val="00903C8E"/>
    <w:rsid w:val="00904CEE"/>
    <w:rsid w:val="00904FEB"/>
    <w:rsid w:val="00906BC1"/>
    <w:rsid w:val="00907478"/>
    <w:rsid w:val="00907D4A"/>
    <w:rsid w:val="00911735"/>
    <w:rsid w:val="00911E06"/>
    <w:rsid w:val="00912085"/>
    <w:rsid w:val="009129CE"/>
    <w:rsid w:val="00912DB0"/>
    <w:rsid w:val="00913BD2"/>
    <w:rsid w:val="0091418B"/>
    <w:rsid w:val="0091706D"/>
    <w:rsid w:val="009204A5"/>
    <w:rsid w:val="00924912"/>
    <w:rsid w:val="009249C9"/>
    <w:rsid w:val="00925703"/>
    <w:rsid w:val="009279BA"/>
    <w:rsid w:val="009303D0"/>
    <w:rsid w:val="00933A76"/>
    <w:rsid w:val="0093496E"/>
    <w:rsid w:val="009366AE"/>
    <w:rsid w:val="00937525"/>
    <w:rsid w:val="009375B5"/>
    <w:rsid w:val="00940C62"/>
    <w:rsid w:val="009431D7"/>
    <w:rsid w:val="009433CE"/>
    <w:rsid w:val="00944BBF"/>
    <w:rsid w:val="00945CCD"/>
    <w:rsid w:val="00946663"/>
    <w:rsid w:val="00947958"/>
    <w:rsid w:val="00953183"/>
    <w:rsid w:val="00956C53"/>
    <w:rsid w:val="0096058D"/>
    <w:rsid w:val="00960D6F"/>
    <w:rsid w:val="00962E39"/>
    <w:rsid w:val="00962F21"/>
    <w:rsid w:val="00963490"/>
    <w:rsid w:val="009639B7"/>
    <w:rsid w:val="0096451B"/>
    <w:rsid w:val="00964B4B"/>
    <w:rsid w:val="00964E03"/>
    <w:rsid w:val="00965255"/>
    <w:rsid w:val="00966C76"/>
    <w:rsid w:val="00967AA4"/>
    <w:rsid w:val="00970A9B"/>
    <w:rsid w:val="009710CB"/>
    <w:rsid w:val="00972729"/>
    <w:rsid w:val="009735B3"/>
    <w:rsid w:val="009735DB"/>
    <w:rsid w:val="009737C5"/>
    <w:rsid w:val="0098155B"/>
    <w:rsid w:val="009833B0"/>
    <w:rsid w:val="009838F6"/>
    <w:rsid w:val="00983DC2"/>
    <w:rsid w:val="00984B57"/>
    <w:rsid w:val="00985AE4"/>
    <w:rsid w:val="009875AE"/>
    <w:rsid w:val="00987BCA"/>
    <w:rsid w:val="00987E86"/>
    <w:rsid w:val="00987F0F"/>
    <w:rsid w:val="009911C5"/>
    <w:rsid w:val="009919C7"/>
    <w:rsid w:val="00991B75"/>
    <w:rsid w:val="00992069"/>
    <w:rsid w:val="00992D6F"/>
    <w:rsid w:val="00995DAC"/>
    <w:rsid w:val="00995DD3"/>
    <w:rsid w:val="00996A09"/>
    <w:rsid w:val="009A451D"/>
    <w:rsid w:val="009A5543"/>
    <w:rsid w:val="009A5660"/>
    <w:rsid w:val="009B02B6"/>
    <w:rsid w:val="009B05F4"/>
    <w:rsid w:val="009B1F8F"/>
    <w:rsid w:val="009B2B1F"/>
    <w:rsid w:val="009B31B0"/>
    <w:rsid w:val="009B3447"/>
    <w:rsid w:val="009B35A2"/>
    <w:rsid w:val="009B4E72"/>
    <w:rsid w:val="009B5946"/>
    <w:rsid w:val="009B65E6"/>
    <w:rsid w:val="009B7BCD"/>
    <w:rsid w:val="009C0EAC"/>
    <w:rsid w:val="009C1470"/>
    <w:rsid w:val="009C1C96"/>
    <w:rsid w:val="009C21EC"/>
    <w:rsid w:val="009C30A0"/>
    <w:rsid w:val="009C325D"/>
    <w:rsid w:val="009C351E"/>
    <w:rsid w:val="009C3C61"/>
    <w:rsid w:val="009C443E"/>
    <w:rsid w:val="009C52E3"/>
    <w:rsid w:val="009C5A9B"/>
    <w:rsid w:val="009D06FC"/>
    <w:rsid w:val="009D1E3E"/>
    <w:rsid w:val="009D4EC2"/>
    <w:rsid w:val="009D4EC9"/>
    <w:rsid w:val="009D5CDE"/>
    <w:rsid w:val="009D6635"/>
    <w:rsid w:val="009D7719"/>
    <w:rsid w:val="009D7BFE"/>
    <w:rsid w:val="009E017C"/>
    <w:rsid w:val="009E0D6F"/>
    <w:rsid w:val="009E2477"/>
    <w:rsid w:val="009E2BAD"/>
    <w:rsid w:val="009E3C10"/>
    <w:rsid w:val="009E4224"/>
    <w:rsid w:val="009E625E"/>
    <w:rsid w:val="009F246D"/>
    <w:rsid w:val="009F2B5D"/>
    <w:rsid w:val="009F4285"/>
    <w:rsid w:val="009F5D66"/>
    <w:rsid w:val="009F6175"/>
    <w:rsid w:val="009F6251"/>
    <w:rsid w:val="00A009B9"/>
    <w:rsid w:val="00A04845"/>
    <w:rsid w:val="00A0538D"/>
    <w:rsid w:val="00A05ADF"/>
    <w:rsid w:val="00A06125"/>
    <w:rsid w:val="00A07B25"/>
    <w:rsid w:val="00A07EE0"/>
    <w:rsid w:val="00A13834"/>
    <w:rsid w:val="00A14679"/>
    <w:rsid w:val="00A14B2F"/>
    <w:rsid w:val="00A15746"/>
    <w:rsid w:val="00A15ACE"/>
    <w:rsid w:val="00A20C53"/>
    <w:rsid w:val="00A20FA9"/>
    <w:rsid w:val="00A21382"/>
    <w:rsid w:val="00A21CFD"/>
    <w:rsid w:val="00A22224"/>
    <w:rsid w:val="00A22B20"/>
    <w:rsid w:val="00A23EF0"/>
    <w:rsid w:val="00A24C9D"/>
    <w:rsid w:val="00A260DA"/>
    <w:rsid w:val="00A300C8"/>
    <w:rsid w:val="00A302BF"/>
    <w:rsid w:val="00A308BF"/>
    <w:rsid w:val="00A3506D"/>
    <w:rsid w:val="00A406C3"/>
    <w:rsid w:val="00A43723"/>
    <w:rsid w:val="00A44B80"/>
    <w:rsid w:val="00A4717C"/>
    <w:rsid w:val="00A473B7"/>
    <w:rsid w:val="00A50FF2"/>
    <w:rsid w:val="00A51085"/>
    <w:rsid w:val="00A52194"/>
    <w:rsid w:val="00A52EA1"/>
    <w:rsid w:val="00A53B0A"/>
    <w:rsid w:val="00A552EE"/>
    <w:rsid w:val="00A5605C"/>
    <w:rsid w:val="00A56931"/>
    <w:rsid w:val="00A60083"/>
    <w:rsid w:val="00A614EB"/>
    <w:rsid w:val="00A61CED"/>
    <w:rsid w:val="00A62B8D"/>
    <w:rsid w:val="00A62E95"/>
    <w:rsid w:val="00A630CB"/>
    <w:rsid w:val="00A66FB1"/>
    <w:rsid w:val="00A706B6"/>
    <w:rsid w:val="00A707E2"/>
    <w:rsid w:val="00A74779"/>
    <w:rsid w:val="00A800D1"/>
    <w:rsid w:val="00A8256E"/>
    <w:rsid w:val="00A83098"/>
    <w:rsid w:val="00A845B8"/>
    <w:rsid w:val="00A853F7"/>
    <w:rsid w:val="00A855DD"/>
    <w:rsid w:val="00A859A9"/>
    <w:rsid w:val="00A87354"/>
    <w:rsid w:val="00A90010"/>
    <w:rsid w:val="00A9075A"/>
    <w:rsid w:val="00A90857"/>
    <w:rsid w:val="00A92084"/>
    <w:rsid w:val="00A922C8"/>
    <w:rsid w:val="00A947F4"/>
    <w:rsid w:val="00A94F12"/>
    <w:rsid w:val="00A94F4F"/>
    <w:rsid w:val="00A976BF"/>
    <w:rsid w:val="00AA093C"/>
    <w:rsid w:val="00AA3619"/>
    <w:rsid w:val="00AA4270"/>
    <w:rsid w:val="00AA52D9"/>
    <w:rsid w:val="00AA54F1"/>
    <w:rsid w:val="00AA7457"/>
    <w:rsid w:val="00AB1C14"/>
    <w:rsid w:val="00AB2463"/>
    <w:rsid w:val="00AB3E10"/>
    <w:rsid w:val="00AB6443"/>
    <w:rsid w:val="00AC0DAF"/>
    <w:rsid w:val="00AC0E36"/>
    <w:rsid w:val="00AC1BCE"/>
    <w:rsid w:val="00AC2076"/>
    <w:rsid w:val="00AC2B4E"/>
    <w:rsid w:val="00AC3317"/>
    <w:rsid w:val="00AC439E"/>
    <w:rsid w:val="00AC530F"/>
    <w:rsid w:val="00AC69A8"/>
    <w:rsid w:val="00AD0F5B"/>
    <w:rsid w:val="00AD4105"/>
    <w:rsid w:val="00AD50C7"/>
    <w:rsid w:val="00AD5ABF"/>
    <w:rsid w:val="00AD6860"/>
    <w:rsid w:val="00AD6AF0"/>
    <w:rsid w:val="00AD6B9C"/>
    <w:rsid w:val="00AE1836"/>
    <w:rsid w:val="00AE197D"/>
    <w:rsid w:val="00AE3D8C"/>
    <w:rsid w:val="00AE4128"/>
    <w:rsid w:val="00AE4174"/>
    <w:rsid w:val="00AE4B51"/>
    <w:rsid w:val="00AE707C"/>
    <w:rsid w:val="00AE7DDA"/>
    <w:rsid w:val="00AF1459"/>
    <w:rsid w:val="00AF1773"/>
    <w:rsid w:val="00AF269C"/>
    <w:rsid w:val="00AF3DD7"/>
    <w:rsid w:val="00AF6200"/>
    <w:rsid w:val="00AF6451"/>
    <w:rsid w:val="00AF6FA0"/>
    <w:rsid w:val="00B002DF"/>
    <w:rsid w:val="00B008D4"/>
    <w:rsid w:val="00B010F4"/>
    <w:rsid w:val="00B01B83"/>
    <w:rsid w:val="00B02ADD"/>
    <w:rsid w:val="00B03BBD"/>
    <w:rsid w:val="00B04D19"/>
    <w:rsid w:val="00B059E7"/>
    <w:rsid w:val="00B11698"/>
    <w:rsid w:val="00B126FF"/>
    <w:rsid w:val="00B1438C"/>
    <w:rsid w:val="00B20C75"/>
    <w:rsid w:val="00B226CD"/>
    <w:rsid w:val="00B228E7"/>
    <w:rsid w:val="00B23762"/>
    <w:rsid w:val="00B25C05"/>
    <w:rsid w:val="00B260F8"/>
    <w:rsid w:val="00B27624"/>
    <w:rsid w:val="00B27EE5"/>
    <w:rsid w:val="00B30312"/>
    <w:rsid w:val="00B316E7"/>
    <w:rsid w:val="00B31E8D"/>
    <w:rsid w:val="00B32B63"/>
    <w:rsid w:val="00B331D3"/>
    <w:rsid w:val="00B35E05"/>
    <w:rsid w:val="00B40A14"/>
    <w:rsid w:val="00B426FF"/>
    <w:rsid w:val="00B450DB"/>
    <w:rsid w:val="00B462D0"/>
    <w:rsid w:val="00B46791"/>
    <w:rsid w:val="00B468E7"/>
    <w:rsid w:val="00B46C6B"/>
    <w:rsid w:val="00B47D26"/>
    <w:rsid w:val="00B53AF9"/>
    <w:rsid w:val="00B53DE7"/>
    <w:rsid w:val="00B53F53"/>
    <w:rsid w:val="00B55211"/>
    <w:rsid w:val="00B553CE"/>
    <w:rsid w:val="00B565B5"/>
    <w:rsid w:val="00B56608"/>
    <w:rsid w:val="00B60E44"/>
    <w:rsid w:val="00B6125C"/>
    <w:rsid w:val="00B61328"/>
    <w:rsid w:val="00B664B9"/>
    <w:rsid w:val="00B670C6"/>
    <w:rsid w:val="00B67BF7"/>
    <w:rsid w:val="00B67C35"/>
    <w:rsid w:val="00B72D13"/>
    <w:rsid w:val="00B72DB5"/>
    <w:rsid w:val="00B748A8"/>
    <w:rsid w:val="00B8024C"/>
    <w:rsid w:val="00B80387"/>
    <w:rsid w:val="00B80EF4"/>
    <w:rsid w:val="00B84345"/>
    <w:rsid w:val="00B84732"/>
    <w:rsid w:val="00B84AB5"/>
    <w:rsid w:val="00B853F9"/>
    <w:rsid w:val="00B85ADA"/>
    <w:rsid w:val="00B868AC"/>
    <w:rsid w:val="00B90C44"/>
    <w:rsid w:val="00B924A6"/>
    <w:rsid w:val="00B95273"/>
    <w:rsid w:val="00B9657B"/>
    <w:rsid w:val="00BA0E1C"/>
    <w:rsid w:val="00BA3FB9"/>
    <w:rsid w:val="00BA4AB6"/>
    <w:rsid w:val="00BA75EB"/>
    <w:rsid w:val="00BA7C18"/>
    <w:rsid w:val="00BB1B57"/>
    <w:rsid w:val="00BB2081"/>
    <w:rsid w:val="00BB2D49"/>
    <w:rsid w:val="00BB2E22"/>
    <w:rsid w:val="00BB4067"/>
    <w:rsid w:val="00BB48C9"/>
    <w:rsid w:val="00BB53A5"/>
    <w:rsid w:val="00BB5C71"/>
    <w:rsid w:val="00BD06C2"/>
    <w:rsid w:val="00BD4D7B"/>
    <w:rsid w:val="00BD4EF6"/>
    <w:rsid w:val="00BD542F"/>
    <w:rsid w:val="00BD63C8"/>
    <w:rsid w:val="00BD67C1"/>
    <w:rsid w:val="00BD6A4F"/>
    <w:rsid w:val="00BD6E4D"/>
    <w:rsid w:val="00BE0163"/>
    <w:rsid w:val="00BE08B5"/>
    <w:rsid w:val="00BE0D25"/>
    <w:rsid w:val="00BE6D26"/>
    <w:rsid w:val="00BE76DF"/>
    <w:rsid w:val="00BF0910"/>
    <w:rsid w:val="00BF13FC"/>
    <w:rsid w:val="00BF15E5"/>
    <w:rsid w:val="00BF1E58"/>
    <w:rsid w:val="00BF1EB6"/>
    <w:rsid w:val="00BF2141"/>
    <w:rsid w:val="00BF37F6"/>
    <w:rsid w:val="00BF48EF"/>
    <w:rsid w:val="00BF549D"/>
    <w:rsid w:val="00BF79FD"/>
    <w:rsid w:val="00C00050"/>
    <w:rsid w:val="00C005F2"/>
    <w:rsid w:val="00C013FD"/>
    <w:rsid w:val="00C017AE"/>
    <w:rsid w:val="00C0188F"/>
    <w:rsid w:val="00C02708"/>
    <w:rsid w:val="00C02726"/>
    <w:rsid w:val="00C028ED"/>
    <w:rsid w:val="00C03718"/>
    <w:rsid w:val="00C04745"/>
    <w:rsid w:val="00C05718"/>
    <w:rsid w:val="00C149C4"/>
    <w:rsid w:val="00C20B27"/>
    <w:rsid w:val="00C21338"/>
    <w:rsid w:val="00C216B8"/>
    <w:rsid w:val="00C22ED5"/>
    <w:rsid w:val="00C2378D"/>
    <w:rsid w:val="00C23F28"/>
    <w:rsid w:val="00C25822"/>
    <w:rsid w:val="00C26B23"/>
    <w:rsid w:val="00C2726A"/>
    <w:rsid w:val="00C27549"/>
    <w:rsid w:val="00C30550"/>
    <w:rsid w:val="00C314DD"/>
    <w:rsid w:val="00C31642"/>
    <w:rsid w:val="00C31AF9"/>
    <w:rsid w:val="00C33218"/>
    <w:rsid w:val="00C3321C"/>
    <w:rsid w:val="00C336A3"/>
    <w:rsid w:val="00C34B56"/>
    <w:rsid w:val="00C3661D"/>
    <w:rsid w:val="00C36945"/>
    <w:rsid w:val="00C42630"/>
    <w:rsid w:val="00C42E96"/>
    <w:rsid w:val="00C43A6F"/>
    <w:rsid w:val="00C442DE"/>
    <w:rsid w:val="00C45817"/>
    <w:rsid w:val="00C458DC"/>
    <w:rsid w:val="00C45904"/>
    <w:rsid w:val="00C46B52"/>
    <w:rsid w:val="00C47F9D"/>
    <w:rsid w:val="00C50667"/>
    <w:rsid w:val="00C50C01"/>
    <w:rsid w:val="00C54265"/>
    <w:rsid w:val="00C54561"/>
    <w:rsid w:val="00C56BE8"/>
    <w:rsid w:val="00C56FE0"/>
    <w:rsid w:val="00C615EA"/>
    <w:rsid w:val="00C61A8F"/>
    <w:rsid w:val="00C61F0D"/>
    <w:rsid w:val="00C62CE8"/>
    <w:rsid w:val="00C6580F"/>
    <w:rsid w:val="00C66A05"/>
    <w:rsid w:val="00C67005"/>
    <w:rsid w:val="00C67E0B"/>
    <w:rsid w:val="00C72381"/>
    <w:rsid w:val="00C77EE3"/>
    <w:rsid w:val="00C816FA"/>
    <w:rsid w:val="00C8231E"/>
    <w:rsid w:val="00C832A6"/>
    <w:rsid w:val="00C849AD"/>
    <w:rsid w:val="00C84ED7"/>
    <w:rsid w:val="00C85C31"/>
    <w:rsid w:val="00C871F0"/>
    <w:rsid w:val="00C87431"/>
    <w:rsid w:val="00C930AC"/>
    <w:rsid w:val="00C94A3A"/>
    <w:rsid w:val="00C9516E"/>
    <w:rsid w:val="00C9541A"/>
    <w:rsid w:val="00C955B5"/>
    <w:rsid w:val="00C957E6"/>
    <w:rsid w:val="00C963B6"/>
    <w:rsid w:val="00CA0ADF"/>
    <w:rsid w:val="00CA3060"/>
    <w:rsid w:val="00CA32A4"/>
    <w:rsid w:val="00CA3A58"/>
    <w:rsid w:val="00CA3CFA"/>
    <w:rsid w:val="00CA47C3"/>
    <w:rsid w:val="00CA5818"/>
    <w:rsid w:val="00CA7032"/>
    <w:rsid w:val="00CB0816"/>
    <w:rsid w:val="00CB232E"/>
    <w:rsid w:val="00CB3EB2"/>
    <w:rsid w:val="00CB4335"/>
    <w:rsid w:val="00CB5D3E"/>
    <w:rsid w:val="00CB7DB3"/>
    <w:rsid w:val="00CC02C7"/>
    <w:rsid w:val="00CC0B2E"/>
    <w:rsid w:val="00CC0F2C"/>
    <w:rsid w:val="00CC174F"/>
    <w:rsid w:val="00CC2D88"/>
    <w:rsid w:val="00CC2F3D"/>
    <w:rsid w:val="00CC3C43"/>
    <w:rsid w:val="00CC4E18"/>
    <w:rsid w:val="00CC59A2"/>
    <w:rsid w:val="00CC5BD4"/>
    <w:rsid w:val="00CD32DC"/>
    <w:rsid w:val="00CE0331"/>
    <w:rsid w:val="00CE54A5"/>
    <w:rsid w:val="00CE61F8"/>
    <w:rsid w:val="00CE6751"/>
    <w:rsid w:val="00CF0759"/>
    <w:rsid w:val="00CF078D"/>
    <w:rsid w:val="00CF2E0E"/>
    <w:rsid w:val="00CF2FF0"/>
    <w:rsid w:val="00CF3A6F"/>
    <w:rsid w:val="00CF5091"/>
    <w:rsid w:val="00CF5415"/>
    <w:rsid w:val="00CF63BF"/>
    <w:rsid w:val="00D014BE"/>
    <w:rsid w:val="00D017E6"/>
    <w:rsid w:val="00D01DE9"/>
    <w:rsid w:val="00D059D0"/>
    <w:rsid w:val="00D05BB3"/>
    <w:rsid w:val="00D075B1"/>
    <w:rsid w:val="00D07A8E"/>
    <w:rsid w:val="00D10FD9"/>
    <w:rsid w:val="00D121FA"/>
    <w:rsid w:val="00D13822"/>
    <w:rsid w:val="00D13C95"/>
    <w:rsid w:val="00D140B7"/>
    <w:rsid w:val="00D15A50"/>
    <w:rsid w:val="00D162CE"/>
    <w:rsid w:val="00D16804"/>
    <w:rsid w:val="00D17090"/>
    <w:rsid w:val="00D1754F"/>
    <w:rsid w:val="00D17CD5"/>
    <w:rsid w:val="00D213BA"/>
    <w:rsid w:val="00D275C4"/>
    <w:rsid w:val="00D27739"/>
    <w:rsid w:val="00D3336A"/>
    <w:rsid w:val="00D3475A"/>
    <w:rsid w:val="00D34E74"/>
    <w:rsid w:val="00D350DF"/>
    <w:rsid w:val="00D369DE"/>
    <w:rsid w:val="00D407FD"/>
    <w:rsid w:val="00D42518"/>
    <w:rsid w:val="00D4269E"/>
    <w:rsid w:val="00D43C42"/>
    <w:rsid w:val="00D43D25"/>
    <w:rsid w:val="00D44A93"/>
    <w:rsid w:val="00D45E06"/>
    <w:rsid w:val="00D5033B"/>
    <w:rsid w:val="00D5046A"/>
    <w:rsid w:val="00D509C3"/>
    <w:rsid w:val="00D51023"/>
    <w:rsid w:val="00D56A52"/>
    <w:rsid w:val="00D6106D"/>
    <w:rsid w:val="00D61729"/>
    <w:rsid w:val="00D62293"/>
    <w:rsid w:val="00D622C2"/>
    <w:rsid w:val="00D63ECA"/>
    <w:rsid w:val="00D647C3"/>
    <w:rsid w:val="00D64DC5"/>
    <w:rsid w:val="00D661FB"/>
    <w:rsid w:val="00D66DBA"/>
    <w:rsid w:val="00D672B0"/>
    <w:rsid w:val="00D7192B"/>
    <w:rsid w:val="00D71B0B"/>
    <w:rsid w:val="00D71E7D"/>
    <w:rsid w:val="00D728D1"/>
    <w:rsid w:val="00D72E64"/>
    <w:rsid w:val="00D73DD1"/>
    <w:rsid w:val="00D760B7"/>
    <w:rsid w:val="00D761F4"/>
    <w:rsid w:val="00D765E5"/>
    <w:rsid w:val="00D77950"/>
    <w:rsid w:val="00D80DDB"/>
    <w:rsid w:val="00D826AB"/>
    <w:rsid w:val="00D85B92"/>
    <w:rsid w:val="00D85E6A"/>
    <w:rsid w:val="00D87518"/>
    <w:rsid w:val="00D87C06"/>
    <w:rsid w:val="00D87E2C"/>
    <w:rsid w:val="00D901A6"/>
    <w:rsid w:val="00D91377"/>
    <w:rsid w:val="00D91768"/>
    <w:rsid w:val="00D91997"/>
    <w:rsid w:val="00D91D15"/>
    <w:rsid w:val="00D92BB1"/>
    <w:rsid w:val="00D9370C"/>
    <w:rsid w:val="00D93947"/>
    <w:rsid w:val="00D93D9D"/>
    <w:rsid w:val="00D94068"/>
    <w:rsid w:val="00D9429F"/>
    <w:rsid w:val="00D958F0"/>
    <w:rsid w:val="00D96E67"/>
    <w:rsid w:val="00D9791F"/>
    <w:rsid w:val="00D97C00"/>
    <w:rsid w:val="00D97F44"/>
    <w:rsid w:val="00DA1BA7"/>
    <w:rsid w:val="00DA43CF"/>
    <w:rsid w:val="00DA5E4B"/>
    <w:rsid w:val="00DB15EC"/>
    <w:rsid w:val="00DB1CDB"/>
    <w:rsid w:val="00DB2C70"/>
    <w:rsid w:val="00DB3961"/>
    <w:rsid w:val="00DB3A21"/>
    <w:rsid w:val="00DB448A"/>
    <w:rsid w:val="00DB45B5"/>
    <w:rsid w:val="00DB4A35"/>
    <w:rsid w:val="00DB4AE1"/>
    <w:rsid w:val="00DB4CDC"/>
    <w:rsid w:val="00DB4FF2"/>
    <w:rsid w:val="00DB71DF"/>
    <w:rsid w:val="00DC022B"/>
    <w:rsid w:val="00DC1495"/>
    <w:rsid w:val="00DC21C9"/>
    <w:rsid w:val="00DC24DE"/>
    <w:rsid w:val="00DC2F9F"/>
    <w:rsid w:val="00DC3B54"/>
    <w:rsid w:val="00DC47F2"/>
    <w:rsid w:val="00DC5283"/>
    <w:rsid w:val="00DC5368"/>
    <w:rsid w:val="00DC6E6A"/>
    <w:rsid w:val="00DC7526"/>
    <w:rsid w:val="00DC7D02"/>
    <w:rsid w:val="00DD0E89"/>
    <w:rsid w:val="00DD2EEC"/>
    <w:rsid w:val="00DD3810"/>
    <w:rsid w:val="00DD3E13"/>
    <w:rsid w:val="00DD4B07"/>
    <w:rsid w:val="00DD70B1"/>
    <w:rsid w:val="00DD7762"/>
    <w:rsid w:val="00DD7977"/>
    <w:rsid w:val="00DE2827"/>
    <w:rsid w:val="00DE2FC0"/>
    <w:rsid w:val="00DE3328"/>
    <w:rsid w:val="00DE5580"/>
    <w:rsid w:val="00DE5B50"/>
    <w:rsid w:val="00DE68CE"/>
    <w:rsid w:val="00DE7A88"/>
    <w:rsid w:val="00DF085E"/>
    <w:rsid w:val="00DF2B2D"/>
    <w:rsid w:val="00DF763F"/>
    <w:rsid w:val="00DF7F5E"/>
    <w:rsid w:val="00E00D10"/>
    <w:rsid w:val="00E00D2D"/>
    <w:rsid w:val="00E026AA"/>
    <w:rsid w:val="00E02E46"/>
    <w:rsid w:val="00E03314"/>
    <w:rsid w:val="00E03C48"/>
    <w:rsid w:val="00E049D3"/>
    <w:rsid w:val="00E050A5"/>
    <w:rsid w:val="00E0641B"/>
    <w:rsid w:val="00E06EC5"/>
    <w:rsid w:val="00E07D08"/>
    <w:rsid w:val="00E1113F"/>
    <w:rsid w:val="00E13894"/>
    <w:rsid w:val="00E13A30"/>
    <w:rsid w:val="00E141A3"/>
    <w:rsid w:val="00E17F18"/>
    <w:rsid w:val="00E219BC"/>
    <w:rsid w:val="00E22616"/>
    <w:rsid w:val="00E22739"/>
    <w:rsid w:val="00E2348B"/>
    <w:rsid w:val="00E23A02"/>
    <w:rsid w:val="00E24793"/>
    <w:rsid w:val="00E249CF"/>
    <w:rsid w:val="00E25C99"/>
    <w:rsid w:val="00E272A6"/>
    <w:rsid w:val="00E31309"/>
    <w:rsid w:val="00E3151B"/>
    <w:rsid w:val="00E32405"/>
    <w:rsid w:val="00E32EC8"/>
    <w:rsid w:val="00E354F1"/>
    <w:rsid w:val="00E358DB"/>
    <w:rsid w:val="00E35A97"/>
    <w:rsid w:val="00E4111C"/>
    <w:rsid w:val="00E4206C"/>
    <w:rsid w:val="00E42C52"/>
    <w:rsid w:val="00E43CA6"/>
    <w:rsid w:val="00E44469"/>
    <w:rsid w:val="00E46477"/>
    <w:rsid w:val="00E474F6"/>
    <w:rsid w:val="00E50CC5"/>
    <w:rsid w:val="00E5267B"/>
    <w:rsid w:val="00E534A9"/>
    <w:rsid w:val="00E53DAE"/>
    <w:rsid w:val="00E6344B"/>
    <w:rsid w:val="00E6392A"/>
    <w:rsid w:val="00E63D4A"/>
    <w:rsid w:val="00E66BD5"/>
    <w:rsid w:val="00E70BA5"/>
    <w:rsid w:val="00E70CEC"/>
    <w:rsid w:val="00E71916"/>
    <w:rsid w:val="00E72366"/>
    <w:rsid w:val="00E73D52"/>
    <w:rsid w:val="00E7414E"/>
    <w:rsid w:val="00E7753C"/>
    <w:rsid w:val="00E82F43"/>
    <w:rsid w:val="00E8346B"/>
    <w:rsid w:val="00E869C8"/>
    <w:rsid w:val="00E87512"/>
    <w:rsid w:val="00E903CC"/>
    <w:rsid w:val="00E931AC"/>
    <w:rsid w:val="00E9386B"/>
    <w:rsid w:val="00EA0343"/>
    <w:rsid w:val="00EA173C"/>
    <w:rsid w:val="00EA1A76"/>
    <w:rsid w:val="00EA22A8"/>
    <w:rsid w:val="00EA3359"/>
    <w:rsid w:val="00EA3C69"/>
    <w:rsid w:val="00EA3F1C"/>
    <w:rsid w:val="00EA4730"/>
    <w:rsid w:val="00EA4D83"/>
    <w:rsid w:val="00EA5369"/>
    <w:rsid w:val="00EA763E"/>
    <w:rsid w:val="00EB0F38"/>
    <w:rsid w:val="00EB35B3"/>
    <w:rsid w:val="00EB39F2"/>
    <w:rsid w:val="00EB40EC"/>
    <w:rsid w:val="00EB41CF"/>
    <w:rsid w:val="00EB4812"/>
    <w:rsid w:val="00EB6655"/>
    <w:rsid w:val="00EB687C"/>
    <w:rsid w:val="00EC17FC"/>
    <w:rsid w:val="00EC2E6E"/>
    <w:rsid w:val="00EC3930"/>
    <w:rsid w:val="00EC3AFC"/>
    <w:rsid w:val="00EC3E7E"/>
    <w:rsid w:val="00EC46C2"/>
    <w:rsid w:val="00EC4BBC"/>
    <w:rsid w:val="00EC68B8"/>
    <w:rsid w:val="00ED0836"/>
    <w:rsid w:val="00ED0F7C"/>
    <w:rsid w:val="00ED18F9"/>
    <w:rsid w:val="00ED276E"/>
    <w:rsid w:val="00ED3D36"/>
    <w:rsid w:val="00ED454F"/>
    <w:rsid w:val="00ED76C0"/>
    <w:rsid w:val="00EE0230"/>
    <w:rsid w:val="00EE1C53"/>
    <w:rsid w:val="00EE25FF"/>
    <w:rsid w:val="00EE2BC0"/>
    <w:rsid w:val="00EE334C"/>
    <w:rsid w:val="00EE3D7D"/>
    <w:rsid w:val="00EE4DA1"/>
    <w:rsid w:val="00EE7F36"/>
    <w:rsid w:val="00EF04C7"/>
    <w:rsid w:val="00EF05E7"/>
    <w:rsid w:val="00EF1C5E"/>
    <w:rsid w:val="00EF1E19"/>
    <w:rsid w:val="00EF1FA9"/>
    <w:rsid w:val="00EF3C6E"/>
    <w:rsid w:val="00EF4437"/>
    <w:rsid w:val="00EF4543"/>
    <w:rsid w:val="00EF4904"/>
    <w:rsid w:val="00EF7561"/>
    <w:rsid w:val="00F00B38"/>
    <w:rsid w:val="00F00D65"/>
    <w:rsid w:val="00F03916"/>
    <w:rsid w:val="00F03B47"/>
    <w:rsid w:val="00F04A61"/>
    <w:rsid w:val="00F05858"/>
    <w:rsid w:val="00F0645E"/>
    <w:rsid w:val="00F0660E"/>
    <w:rsid w:val="00F067A7"/>
    <w:rsid w:val="00F06877"/>
    <w:rsid w:val="00F06909"/>
    <w:rsid w:val="00F069A9"/>
    <w:rsid w:val="00F11637"/>
    <w:rsid w:val="00F12E85"/>
    <w:rsid w:val="00F12FC9"/>
    <w:rsid w:val="00F134D6"/>
    <w:rsid w:val="00F13E31"/>
    <w:rsid w:val="00F16637"/>
    <w:rsid w:val="00F16C3B"/>
    <w:rsid w:val="00F22F4A"/>
    <w:rsid w:val="00F251A0"/>
    <w:rsid w:val="00F25FD3"/>
    <w:rsid w:val="00F27828"/>
    <w:rsid w:val="00F322F4"/>
    <w:rsid w:val="00F336DC"/>
    <w:rsid w:val="00F45B94"/>
    <w:rsid w:val="00F46360"/>
    <w:rsid w:val="00F46AD0"/>
    <w:rsid w:val="00F50118"/>
    <w:rsid w:val="00F54886"/>
    <w:rsid w:val="00F602CF"/>
    <w:rsid w:val="00F614DE"/>
    <w:rsid w:val="00F61925"/>
    <w:rsid w:val="00F62F0F"/>
    <w:rsid w:val="00F6324E"/>
    <w:rsid w:val="00F63503"/>
    <w:rsid w:val="00F63BD7"/>
    <w:rsid w:val="00F6558C"/>
    <w:rsid w:val="00F65AC4"/>
    <w:rsid w:val="00F661AF"/>
    <w:rsid w:val="00F66CC6"/>
    <w:rsid w:val="00F75153"/>
    <w:rsid w:val="00F75DA6"/>
    <w:rsid w:val="00F75DD9"/>
    <w:rsid w:val="00F7658D"/>
    <w:rsid w:val="00F7714B"/>
    <w:rsid w:val="00F7718C"/>
    <w:rsid w:val="00F80132"/>
    <w:rsid w:val="00F819B4"/>
    <w:rsid w:val="00F819B6"/>
    <w:rsid w:val="00F83F72"/>
    <w:rsid w:val="00F85322"/>
    <w:rsid w:val="00F8560C"/>
    <w:rsid w:val="00F919F6"/>
    <w:rsid w:val="00F9237D"/>
    <w:rsid w:val="00F9627A"/>
    <w:rsid w:val="00F9638C"/>
    <w:rsid w:val="00F970C9"/>
    <w:rsid w:val="00F97D7D"/>
    <w:rsid w:val="00FA02E5"/>
    <w:rsid w:val="00FA08A3"/>
    <w:rsid w:val="00FA1316"/>
    <w:rsid w:val="00FA318D"/>
    <w:rsid w:val="00FA4F8F"/>
    <w:rsid w:val="00FA5BCF"/>
    <w:rsid w:val="00FB2D58"/>
    <w:rsid w:val="00FB3BA1"/>
    <w:rsid w:val="00FB464F"/>
    <w:rsid w:val="00FB4840"/>
    <w:rsid w:val="00FB6272"/>
    <w:rsid w:val="00FB69EC"/>
    <w:rsid w:val="00FB7426"/>
    <w:rsid w:val="00FC2918"/>
    <w:rsid w:val="00FC2A7E"/>
    <w:rsid w:val="00FD1D1E"/>
    <w:rsid w:val="00FD3C0E"/>
    <w:rsid w:val="00FD5B12"/>
    <w:rsid w:val="00FD5BAE"/>
    <w:rsid w:val="00FD70F9"/>
    <w:rsid w:val="00FD714E"/>
    <w:rsid w:val="00FD7312"/>
    <w:rsid w:val="00FE13AD"/>
    <w:rsid w:val="00FE18F9"/>
    <w:rsid w:val="00FE6C20"/>
    <w:rsid w:val="00FE7AF4"/>
    <w:rsid w:val="00FE7AFE"/>
    <w:rsid w:val="00FE7C12"/>
    <w:rsid w:val="00FE7EAC"/>
    <w:rsid w:val="00FF1B07"/>
    <w:rsid w:val="00FF2BDF"/>
    <w:rsid w:val="00FF713B"/>
    <w:rsid w:val="00FF72F3"/>
    <w:rsid w:val="1AF7F50E"/>
    <w:rsid w:val="5C9917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DA6C"/>
  <w15:chartTrackingRefBased/>
  <w15:docId w15:val="{DE77B6F3-CDF2-4B4C-BCF4-7CDFACD4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4779"/>
    <w:pPr>
      <w:spacing w:after="0" w:line="276" w:lineRule="auto"/>
    </w:pPr>
    <w:rPr>
      <w:rFonts w:ascii="Arial" w:eastAsia="MS Mincho" w:hAnsi="Arial" w:cs="Mangal"/>
      <w:sz w:val="20"/>
      <w:szCs w:val="20"/>
      <w:lang w:eastAsia="ja-JP"/>
    </w:rPr>
  </w:style>
  <w:style w:type="paragraph" w:styleId="berschrift1">
    <w:name w:val="heading 1"/>
    <w:basedOn w:val="Standard"/>
    <w:next w:val="Standard"/>
    <w:link w:val="berschrift1Zchn"/>
    <w:uiPriority w:val="9"/>
    <w:qFormat/>
    <w:rsid w:val="005C41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486EF7"/>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486EF7"/>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next w:val="Standard"/>
    <w:link w:val="berschrift4Zchn"/>
    <w:uiPriority w:val="9"/>
    <w:semiHidden/>
    <w:unhideWhenUsed/>
    <w:qFormat/>
    <w:rsid w:val="00566D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354779"/>
    <w:rPr>
      <w:color w:val="0000FF"/>
      <w:u w:val="single"/>
    </w:rPr>
  </w:style>
  <w:style w:type="character" w:customStyle="1" w:styleId="BetreffFettZchn">
    <w:name w:val="BetreffFett Zchn"/>
    <w:link w:val="BetreffFett"/>
    <w:locked/>
    <w:rsid w:val="00354779"/>
    <w:rPr>
      <w:b/>
      <w:szCs w:val="24"/>
      <w:lang w:eastAsia="ja-JP"/>
    </w:rPr>
  </w:style>
  <w:style w:type="paragraph" w:customStyle="1" w:styleId="BetreffFett">
    <w:name w:val="BetreffFett"/>
    <w:basedOn w:val="Standard"/>
    <w:link w:val="BetreffFettZchn"/>
    <w:qFormat/>
    <w:rsid w:val="00354779"/>
    <w:pPr>
      <w:spacing w:line="264" w:lineRule="auto"/>
    </w:pPr>
    <w:rPr>
      <w:rFonts w:asciiTheme="minorHAnsi" w:eastAsiaTheme="minorHAnsi" w:hAnsiTheme="minorHAnsi" w:cstheme="minorBidi"/>
      <w:b/>
      <w:sz w:val="22"/>
      <w:szCs w:val="24"/>
    </w:rPr>
  </w:style>
  <w:style w:type="paragraph" w:styleId="Kopfzeile">
    <w:name w:val="header"/>
    <w:basedOn w:val="Standard"/>
    <w:link w:val="KopfzeileZchn"/>
    <w:uiPriority w:val="99"/>
    <w:unhideWhenUsed/>
    <w:rsid w:val="00354779"/>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354779"/>
    <w:rPr>
      <w:rFonts w:ascii="Arial" w:eastAsia="MS Mincho" w:hAnsi="Arial" w:cs="Mangal"/>
      <w:sz w:val="20"/>
      <w:szCs w:val="20"/>
      <w:lang w:eastAsia="ja-JP"/>
    </w:rPr>
  </w:style>
  <w:style w:type="paragraph" w:styleId="Fuzeile">
    <w:name w:val="footer"/>
    <w:basedOn w:val="Standard"/>
    <w:link w:val="FuzeileZchn"/>
    <w:uiPriority w:val="99"/>
    <w:unhideWhenUsed/>
    <w:rsid w:val="00354779"/>
    <w:pPr>
      <w:tabs>
        <w:tab w:val="center" w:pos="4513"/>
        <w:tab w:val="right" w:pos="9026"/>
      </w:tabs>
      <w:spacing w:line="240" w:lineRule="auto"/>
    </w:pPr>
  </w:style>
  <w:style w:type="character" w:customStyle="1" w:styleId="FuzeileZchn">
    <w:name w:val="Fußzeile Zchn"/>
    <w:basedOn w:val="Absatz-Standardschriftart"/>
    <w:link w:val="Fuzeile"/>
    <w:uiPriority w:val="99"/>
    <w:rsid w:val="00354779"/>
    <w:rPr>
      <w:rFonts w:ascii="Arial" w:eastAsia="MS Mincho" w:hAnsi="Arial" w:cs="Mangal"/>
      <w:sz w:val="20"/>
      <w:szCs w:val="20"/>
      <w:lang w:eastAsia="ja-JP"/>
    </w:rPr>
  </w:style>
  <w:style w:type="paragraph" w:styleId="Listenabsatz">
    <w:name w:val="List Paragraph"/>
    <w:basedOn w:val="Standard"/>
    <w:link w:val="ListenabsatzZchn"/>
    <w:uiPriority w:val="34"/>
    <w:qFormat/>
    <w:rsid w:val="00D72E64"/>
    <w:pPr>
      <w:ind w:left="720"/>
      <w:contextualSpacing/>
    </w:pPr>
  </w:style>
  <w:style w:type="character" w:customStyle="1" w:styleId="ListenabsatzZchn">
    <w:name w:val="Listenabsatz Zchn"/>
    <w:link w:val="Listenabsatz"/>
    <w:uiPriority w:val="34"/>
    <w:rsid w:val="00D72E64"/>
    <w:rPr>
      <w:rFonts w:ascii="Arial" w:eastAsia="MS Mincho" w:hAnsi="Arial" w:cs="Mangal"/>
      <w:sz w:val="20"/>
      <w:szCs w:val="20"/>
      <w:lang w:eastAsia="ja-JP"/>
    </w:rPr>
  </w:style>
  <w:style w:type="character" w:styleId="NichtaufgelsteErwhnung">
    <w:name w:val="Unresolved Mention"/>
    <w:basedOn w:val="Absatz-Standardschriftart"/>
    <w:uiPriority w:val="99"/>
    <w:semiHidden/>
    <w:unhideWhenUsed/>
    <w:rsid w:val="00C930AC"/>
    <w:rPr>
      <w:color w:val="605E5C"/>
      <w:shd w:val="clear" w:color="auto" w:fill="E1DFDD"/>
    </w:rPr>
  </w:style>
  <w:style w:type="paragraph" w:styleId="Funotentext">
    <w:name w:val="footnote text"/>
    <w:basedOn w:val="Standard"/>
    <w:link w:val="FunotentextZchn"/>
    <w:uiPriority w:val="99"/>
    <w:semiHidden/>
    <w:unhideWhenUsed/>
    <w:rsid w:val="0009101F"/>
    <w:pPr>
      <w:spacing w:line="240" w:lineRule="auto"/>
    </w:pPr>
    <w:rPr>
      <w:rFonts w:asciiTheme="minorHAnsi" w:eastAsiaTheme="minorHAnsi" w:hAnsiTheme="minorHAnsi" w:cstheme="minorBidi"/>
      <w:lang w:val="de-DE" w:eastAsia="en-US"/>
    </w:rPr>
  </w:style>
  <w:style w:type="character" w:customStyle="1" w:styleId="FunotentextZchn">
    <w:name w:val="Fußnotentext Zchn"/>
    <w:basedOn w:val="Absatz-Standardschriftart"/>
    <w:link w:val="Funotentext"/>
    <w:uiPriority w:val="99"/>
    <w:semiHidden/>
    <w:rsid w:val="0009101F"/>
    <w:rPr>
      <w:sz w:val="20"/>
      <w:szCs w:val="20"/>
      <w:lang w:val="de-DE"/>
    </w:rPr>
  </w:style>
  <w:style w:type="character" w:styleId="Funotenzeichen">
    <w:name w:val="footnote reference"/>
    <w:basedOn w:val="Absatz-Standardschriftart"/>
    <w:uiPriority w:val="99"/>
    <w:semiHidden/>
    <w:unhideWhenUsed/>
    <w:rsid w:val="0009101F"/>
    <w:rPr>
      <w:vertAlign w:val="superscript"/>
    </w:rPr>
  </w:style>
  <w:style w:type="character" w:styleId="BesuchterLink">
    <w:name w:val="FollowedHyperlink"/>
    <w:basedOn w:val="Absatz-Standardschriftart"/>
    <w:uiPriority w:val="99"/>
    <w:semiHidden/>
    <w:unhideWhenUsed/>
    <w:rsid w:val="00CC0B2E"/>
    <w:rPr>
      <w:color w:val="954F72" w:themeColor="followedHyperlink"/>
      <w:u w:val="single"/>
    </w:rPr>
  </w:style>
  <w:style w:type="paragraph" w:styleId="berarbeitung">
    <w:name w:val="Revision"/>
    <w:hidden/>
    <w:uiPriority w:val="99"/>
    <w:semiHidden/>
    <w:rsid w:val="00793BDC"/>
    <w:pPr>
      <w:spacing w:after="0" w:line="240" w:lineRule="auto"/>
    </w:pPr>
    <w:rPr>
      <w:rFonts w:ascii="Arial" w:eastAsia="MS Mincho" w:hAnsi="Arial" w:cs="Mangal"/>
      <w:sz w:val="20"/>
      <w:szCs w:val="20"/>
      <w:lang w:eastAsia="ja-JP"/>
    </w:rPr>
  </w:style>
  <w:style w:type="paragraph" w:styleId="HTMLVorformatiert">
    <w:name w:val="HTML Preformatted"/>
    <w:basedOn w:val="Standard"/>
    <w:link w:val="HTMLVorformatiertZchn"/>
    <w:uiPriority w:val="99"/>
    <w:semiHidden/>
    <w:unhideWhenUsed/>
    <w:rsid w:val="00ED1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eastAsia="de-CH"/>
    </w:rPr>
  </w:style>
  <w:style w:type="character" w:customStyle="1" w:styleId="HTMLVorformatiertZchn">
    <w:name w:val="HTML Vorformatiert Zchn"/>
    <w:basedOn w:val="Absatz-Standardschriftart"/>
    <w:link w:val="HTMLVorformatiert"/>
    <w:uiPriority w:val="99"/>
    <w:semiHidden/>
    <w:rsid w:val="00ED18F9"/>
    <w:rPr>
      <w:rFonts w:ascii="Courier New" w:hAnsi="Courier New" w:cs="Courier New"/>
      <w:sz w:val="20"/>
      <w:szCs w:val="20"/>
      <w:lang w:eastAsia="de-CH"/>
    </w:rPr>
  </w:style>
  <w:style w:type="paragraph" w:styleId="StandardWeb">
    <w:name w:val="Normal (Web)"/>
    <w:basedOn w:val="Standard"/>
    <w:uiPriority w:val="99"/>
    <w:unhideWhenUsed/>
    <w:rsid w:val="00ED18F9"/>
    <w:pPr>
      <w:spacing w:before="100" w:beforeAutospacing="1" w:after="100" w:afterAutospacing="1" w:line="240" w:lineRule="auto"/>
    </w:pPr>
    <w:rPr>
      <w:rFonts w:ascii="Calibri" w:eastAsiaTheme="minorHAnsi" w:hAnsi="Calibri" w:cs="Calibri"/>
      <w:sz w:val="22"/>
      <w:szCs w:val="22"/>
      <w:lang w:eastAsia="de-CH"/>
    </w:rPr>
  </w:style>
  <w:style w:type="character" w:customStyle="1" w:styleId="berschrift2Zchn">
    <w:name w:val="Überschrift 2 Zchn"/>
    <w:basedOn w:val="Absatz-Standardschriftart"/>
    <w:link w:val="berschrift2"/>
    <w:uiPriority w:val="9"/>
    <w:rsid w:val="00486EF7"/>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486EF7"/>
    <w:rPr>
      <w:rFonts w:ascii="Times New Roman" w:eastAsia="Times New Roman" w:hAnsi="Times New Roman" w:cs="Times New Roman"/>
      <w:b/>
      <w:bCs/>
      <w:sz w:val="27"/>
      <w:szCs w:val="27"/>
      <w:lang w:eastAsia="de-CH"/>
    </w:rPr>
  </w:style>
  <w:style w:type="paragraph" w:customStyle="1" w:styleId="textabsatz">
    <w:name w:val="textabsatz"/>
    <w:basedOn w:val="Standard"/>
    <w:rsid w:val="00486E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486EF7"/>
    <w:rPr>
      <w:b/>
      <w:bCs/>
    </w:rPr>
  </w:style>
  <w:style w:type="character" w:customStyle="1" w:styleId="visually-hidden">
    <w:name w:val="visually-hidden"/>
    <w:basedOn w:val="Absatz-Standardschriftart"/>
    <w:rsid w:val="00486EF7"/>
  </w:style>
  <w:style w:type="character" w:customStyle="1" w:styleId="ardplayer-posterframe-duration">
    <w:name w:val="ardplayer-posterframe-duration"/>
    <w:basedOn w:val="Absatz-Standardschriftart"/>
    <w:rsid w:val="00486EF7"/>
  </w:style>
  <w:style w:type="paragraph" w:customStyle="1" w:styleId="teaser-absatztopline-container">
    <w:name w:val="teaser-absatz__topline-container"/>
    <w:basedOn w:val="Standard"/>
    <w:rsid w:val="00486E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easer-absatzdate">
    <w:name w:val="teaser-absatz__date"/>
    <w:basedOn w:val="Absatz-Standardschriftart"/>
    <w:rsid w:val="00486EF7"/>
  </w:style>
  <w:style w:type="character" w:customStyle="1" w:styleId="teaser-absatztopline">
    <w:name w:val="teaser-absatz__topline"/>
    <w:basedOn w:val="Absatz-Standardschriftart"/>
    <w:rsid w:val="00486EF7"/>
  </w:style>
  <w:style w:type="character" w:customStyle="1" w:styleId="teaser-absatzheadline">
    <w:name w:val="teaser-absatz__headline"/>
    <w:basedOn w:val="Absatz-Standardschriftart"/>
    <w:rsid w:val="00486EF7"/>
  </w:style>
  <w:style w:type="paragraph" w:customStyle="1" w:styleId="teaser-absatzshorttext">
    <w:name w:val="teaser-absatz__shorttext"/>
    <w:basedOn w:val="Standard"/>
    <w:rsid w:val="00486E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link-extend">
    <w:name w:val="link-extend"/>
    <w:basedOn w:val="Absatz-Standardschriftart"/>
    <w:rsid w:val="00486EF7"/>
  </w:style>
  <w:style w:type="character" w:customStyle="1" w:styleId="berschrift4Zchn">
    <w:name w:val="Überschrift 4 Zchn"/>
    <w:basedOn w:val="Absatz-Standardschriftart"/>
    <w:link w:val="berschrift4"/>
    <w:uiPriority w:val="9"/>
    <w:semiHidden/>
    <w:rsid w:val="00566D53"/>
    <w:rPr>
      <w:rFonts w:asciiTheme="majorHAnsi" w:eastAsiaTheme="majorEastAsia" w:hAnsiTheme="majorHAnsi" w:cstheme="majorBidi"/>
      <w:i/>
      <w:iCs/>
      <w:color w:val="2F5496" w:themeColor="accent1" w:themeShade="BF"/>
      <w:sz w:val="20"/>
      <w:szCs w:val="20"/>
      <w:lang w:eastAsia="ja-JP"/>
    </w:rPr>
  </w:style>
  <w:style w:type="character" w:customStyle="1" w:styleId="berschrift1Zchn">
    <w:name w:val="Überschrift 1 Zchn"/>
    <w:basedOn w:val="Absatz-Standardschriftart"/>
    <w:link w:val="berschrift1"/>
    <w:uiPriority w:val="9"/>
    <w:rsid w:val="005C4118"/>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359">
      <w:bodyDiv w:val="1"/>
      <w:marLeft w:val="0"/>
      <w:marRight w:val="0"/>
      <w:marTop w:val="0"/>
      <w:marBottom w:val="0"/>
      <w:divBdr>
        <w:top w:val="none" w:sz="0" w:space="0" w:color="auto"/>
        <w:left w:val="none" w:sz="0" w:space="0" w:color="auto"/>
        <w:bottom w:val="none" w:sz="0" w:space="0" w:color="auto"/>
        <w:right w:val="none" w:sz="0" w:space="0" w:color="auto"/>
      </w:divBdr>
      <w:divsChild>
        <w:div w:id="1996251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3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96146">
      <w:bodyDiv w:val="1"/>
      <w:marLeft w:val="0"/>
      <w:marRight w:val="0"/>
      <w:marTop w:val="0"/>
      <w:marBottom w:val="0"/>
      <w:divBdr>
        <w:top w:val="none" w:sz="0" w:space="0" w:color="auto"/>
        <w:left w:val="none" w:sz="0" w:space="0" w:color="auto"/>
        <w:bottom w:val="none" w:sz="0" w:space="0" w:color="auto"/>
        <w:right w:val="none" w:sz="0" w:space="0" w:color="auto"/>
      </w:divBdr>
    </w:div>
    <w:div w:id="108937064">
      <w:bodyDiv w:val="1"/>
      <w:marLeft w:val="0"/>
      <w:marRight w:val="0"/>
      <w:marTop w:val="0"/>
      <w:marBottom w:val="0"/>
      <w:divBdr>
        <w:top w:val="none" w:sz="0" w:space="0" w:color="auto"/>
        <w:left w:val="none" w:sz="0" w:space="0" w:color="auto"/>
        <w:bottom w:val="none" w:sz="0" w:space="0" w:color="auto"/>
        <w:right w:val="none" w:sz="0" w:space="0" w:color="auto"/>
      </w:divBdr>
    </w:div>
    <w:div w:id="119148118">
      <w:bodyDiv w:val="1"/>
      <w:marLeft w:val="0"/>
      <w:marRight w:val="0"/>
      <w:marTop w:val="0"/>
      <w:marBottom w:val="0"/>
      <w:divBdr>
        <w:top w:val="none" w:sz="0" w:space="0" w:color="auto"/>
        <w:left w:val="none" w:sz="0" w:space="0" w:color="auto"/>
        <w:bottom w:val="none" w:sz="0" w:space="0" w:color="auto"/>
        <w:right w:val="none" w:sz="0" w:space="0" w:color="auto"/>
      </w:divBdr>
    </w:div>
    <w:div w:id="170799076">
      <w:bodyDiv w:val="1"/>
      <w:marLeft w:val="0"/>
      <w:marRight w:val="0"/>
      <w:marTop w:val="0"/>
      <w:marBottom w:val="0"/>
      <w:divBdr>
        <w:top w:val="none" w:sz="0" w:space="0" w:color="auto"/>
        <w:left w:val="none" w:sz="0" w:space="0" w:color="auto"/>
        <w:bottom w:val="none" w:sz="0" w:space="0" w:color="auto"/>
        <w:right w:val="none" w:sz="0" w:space="0" w:color="auto"/>
      </w:divBdr>
    </w:div>
    <w:div w:id="368337193">
      <w:bodyDiv w:val="1"/>
      <w:marLeft w:val="0"/>
      <w:marRight w:val="0"/>
      <w:marTop w:val="0"/>
      <w:marBottom w:val="0"/>
      <w:divBdr>
        <w:top w:val="none" w:sz="0" w:space="0" w:color="auto"/>
        <w:left w:val="none" w:sz="0" w:space="0" w:color="auto"/>
        <w:bottom w:val="none" w:sz="0" w:space="0" w:color="auto"/>
        <w:right w:val="none" w:sz="0" w:space="0" w:color="auto"/>
      </w:divBdr>
    </w:div>
    <w:div w:id="403726442">
      <w:bodyDiv w:val="1"/>
      <w:marLeft w:val="0"/>
      <w:marRight w:val="0"/>
      <w:marTop w:val="0"/>
      <w:marBottom w:val="0"/>
      <w:divBdr>
        <w:top w:val="none" w:sz="0" w:space="0" w:color="auto"/>
        <w:left w:val="none" w:sz="0" w:space="0" w:color="auto"/>
        <w:bottom w:val="none" w:sz="0" w:space="0" w:color="auto"/>
        <w:right w:val="none" w:sz="0" w:space="0" w:color="auto"/>
      </w:divBdr>
    </w:div>
    <w:div w:id="438450625">
      <w:bodyDiv w:val="1"/>
      <w:marLeft w:val="0"/>
      <w:marRight w:val="0"/>
      <w:marTop w:val="0"/>
      <w:marBottom w:val="0"/>
      <w:divBdr>
        <w:top w:val="none" w:sz="0" w:space="0" w:color="auto"/>
        <w:left w:val="none" w:sz="0" w:space="0" w:color="auto"/>
        <w:bottom w:val="none" w:sz="0" w:space="0" w:color="auto"/>
        <w:right w:val="none" w:sz="0" w:space="0" w:color="auto"/>
      </w:divBdr>
      <w:divsChild>
        <w:div w:id="1658918964">
          <w:marLeft w:val="0"/>
          <w:marRight w:val="0"/>
          <w:marTop w:val="0"/>
          <w:marBottom w:val="480"/>
          <w:divBdr>
            <w:top w:val="none" w:sz="0" w:space="0" w:color="auto"/>
            <w:left w:val="none" w:sz="0" w:space="0" w:color="auto"/>
            <w:bottom w:val="none" w:sz="0" w:space="0" w:color="auto"/>
            <w:right w:val="none" w:sz="0" w:space="0" w:color="auto"/>
          </w:divBdr>
          <w:divsChild>
            <w:div w:id="697773575">
              <w:marLeft w:val="0"/>
              <w:marRight w:val="0"/>
              <w:marTop w:val="100"/>
              <w:marBottom w:val="100"/>
              <w:divBdr>
                <w:top w:val="none" w:sz="0" w:space="0" w:color="auto"/>
                <w:left w:val="none" w:sz="0" w:space="0" w:color="auto"/>
                <w:bottom w:val="none" w:sz="0" w:space="0" w:color="auto"/>
                <w:right w:val="none" w:sz="0" w:space="0" w:color="auto"/>
              </w:divBdr>
            </w:div>
          </w:divsChild>
        </w:div>
        <w:div w:id="1933008046">
          <w:marLeft w:val="0"/>
          <w:marRight w:val="0"/>
          <w:marTop w:val="0"/>
          <w:marBottom w:val="480"/>
          <w:divBdr>
            <w:top w:val="none" w:sz="0" w:space="0" w:color="auto"/>
            <w:left w:val="none" w:sz="0" w:space="0" w:color="auto"/>
            <w:bottom w:val="none" w:sz="0" w:space="0" w:color="auto"/>
            <w:right w:val="none" w:sz="0" w:space="0" w:color="auto"/>
          </w:divBdr>
          <w:divsChild>
            <w:div w:id="200500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2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3576">
      <w:bodyDiv w:val="1"/>
      <w:marLeft w:val="0"/>
      <w:marRight w:val="0"/>
      <w:marTop w:val="0"/>
      <w:marBottom w:val="0"/>
      <w:divBdr>
        <w:top w:val="none" w:sz="0" w:space="0" w:color="auto"/>
        <w:left w:val="none" w:sz="0" w:space="0" w:color="auto"/>
        <w:bottom w:val="none" w:sz="0" w:space="0" w:color="auto"/>
        <w:right w:val="none" w:sz="0" w:space="0" w:color="auto"/>
      </w:divBdr>
    </w:div>
    <w:div w:id="545145544">
      <w:bodyDiv w:val="1"/>
      <w:marLeft w:val="0"/>
      <w:marRight w:val="0"/>
      <w:marTop w:val="0"/>
      <w:marBottom w:val="0"/>
      <w:divBdr>
        <w:top w:val="none" w:sz="0" w:space="0" w:color="auto"/>
        <w:left w:val="none" w:sz="0" w:space="0" w:color="auto"/>
        <w:bottom w:val="none" w:sz="0" w:space="0" w:color="auto"/>
        <w:right w:val="none" w:sz="0" w:space="0" w:color="auto"/>
      </w:divBdr>
    </w:div>
    <w:div w:id="618682402">
      <w:bodyDiv w:val="1"/>
      <w:marLeft w:val="0"/>
      <w:marRight w:val="0"/>
      <w:marTop w:val="0"/>
      <w:marBottom w:val="0"/>
      <w:divBdr>
        <w:top w:val="none" w:sz="0" w:space="0" w:color="auto"/>
        <w:left w:val="none" w:sz="0" w:space="0" w:color="auto"/>
        <w:bottom w:val="none" w:sz="0" w:space="0" w:color="auto"/>
        <w:right w:val="none" w:sz="0" w:space="0" w:color="auto"/>
      </w:divBdr>
      <w:divsChild>
        <w:div w:id="163383087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372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243750">
      <w:bodyDiv w:val="1"/>
      <w:marLeft w:val="0"/>
      <w:marRight w:val="0"/>
      <w:marTop w:val="0"/>
      <w:marBottom w:val="0"/>
      <w:divBdr>
        <w:top w:val="none" w:sz="0" w:space="0" w:color="auto"/>
        <w:left w:val="none" w:sz="0" w:space="0" w:color="auto"/>
        <w:bottom w:val="none" w:sz="0" w:space="0" w:color="auto"/>
        <w:right w:val="none" w:sz="0" w:space="0" w:color="auto"/>
      </w:divBdr>
    </w:div>
    <w:div w:id="688608612">
      <w:bodyDiv w:val="1"/>
      <w:marLeft w:val="0"/>
      <w:marRight w:val="0"/>
      <w:marTop w:val="0"/>
      <w:marBottom w:val="0"/>
      <w:divBdr>
        <w:top w:val="none" w:sz="0" w:space="0" w:color="auto"/>
        <w:left w:val="none" w:sz="0" w:space="0" w:color="auto"/>
        <w:bottom w:val="none" w:sz="0" w:space="0" w:color="auto"/>
        <w:right w:val="none" w:sz="0" w:space="0" w:color="auto"/>
      </w:divBdr>
      <w:divsChild>
        <w:div w:id="2046326159">
          <w:marLeft w:val="0"/>
          <w:marRight w:val="0"/>
          <w:marTop w:val="0"/>
          <w:marBottom w:val="480"/>
          <w:divBdr>
            <w:top w:val="none" w:sz="0" w:space="0" w:color="auto"/>
            <w:left w:val="none" w:sz="0" w:space="0" w:color="auto"/>
            <w:bottom w:val="none" w:sz="0" w:space="0" w:color="auto"/>
            <w:right w:val="none" w:sz="0" w:space="0" w:color="auto"/>
          </w:divBdr>
          <w:divsChild>
            <w:div w:id="1339042535">
              <w:marLeft w:val="0"/>
              <w:marRight w:val="0"/>
              <w:marTop w:val="100"/>
              <w:marBottom w:val="100"/>
              <w:divBdr>
                <w:top w:val="none" w:sz="0" w:space="0" w:color="auto"/>
                <w:left w:val="none" w:sz="0" w:space="0" w:color="auto"/>
                <w:bottom w:val="none" w:sz="0" w:space="0" w:color="auto"/>
                <w:right w:val="none" w:sz="0" w:space="0" w:color="auto"/>
              </w:divBdr>
            </w:div>
          </w:divsChild>
        </w:div>
        <w:div w:id="877668703">
          <w:marLeft w:val="0"/>
          <w:marRight w:val="0"/>
          <w:marTop w:val="0"/>
          <w:marBottom w:val="480"/>
          <w:divBdr>
            <w:top w:val="none" w:sz="0" w:space="0" w:color="auto"/>
            <w:left w:val="none" w:sz="0" w:space="0" w:color="auto"/>
            <w:bottom w:val="none" w:sz="0" w:space="0" w:color="auto"/>
            <w:right w:val="none" w:sz="0" w:space="0" w:color="auto"/>
          </w:divBdr>
          <w:divsChild>
            <w:div w:id="1981107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5851">
      <w:bodyDiv w:val="1"/>
      <w:marLeft w:val="0"/>
      <w:marRight w:val="0"/>
      <w:marTop w:val="0"/>
      <w:marBottom w:val="0"/>
      <w:divBdr>
        <w:top w:val="none" w:sz="0" w:space="0" w:color="auto"/>
        <w:left w:val="none" w:sz="0" w:space="0" w:color="auto"/>
        <w:bottom w:val="none" w:sz="0" w:space="0" w:color="auto"/>
        <w:right w:val="none" w:sz="0" w:space="0" w:color="auto"/>
      </w:divBdr>
    </w:div>
    <w:div w:id="763723494">
      <w:bodyDiv w:val="1"/>
      <w:marLeft w:val="0"/>
      <w:marRight w:val="0"/>
      <w:marTop w:val="0"/>
      <w:marBottom w:val="0"/>
      <w:divBdr>
        <w:top w:val="none" w:sz="0" w:space="0" w:color="auto"/>
        <w:left w:val="none" w:sz="0" w:space="0" w:color="auto"/>
        <w:bottom w:val="none" w:sz="0" w:space="0" w:color="auto"/>
        <w:right w:val="none" w:sz="0" w:space="0" w:color="auto"/>
      </w:divBdr>
    </w:div>
    <w:div w:id="818301455">
      <w:bodyDiv w:val="1"/>
      <w:marLeft w:val="0"/>
      <w:marRight w:val="0"/>
      <w:marTop w:val="0"/>
      <w:marBottom w:val="0"/>
      <w:divBdr>
        <w:top w:val="none" w:sz="0" w:space="0" w:color="auto"/>
        <w:left w:val="none" w:sz="0" w:space="0" w:color="auto"/>
        <w:bottom w:val="none" w:sz="0" w:space="0" w:color="auto"/>
        <w:right w:val="none" w:sz="0" w:space="0" w:color="auto"/>
      </w:divBdr>
    </w:div>
    <w:div w:id="820391298">
      <w:bodyDiv w:val="1"/>
      <w:marLeft w:val="0"/>
      <w:marRight w:val="0"/>
      <w:marTop w:val="0"/>
      <w:marBottom w:val="0"/>
      <w:divBdr>
        <w:top w:val="none" w:sz="0" w:space="0" w:color="auto"/>
        <w:left w:val="none" w:sz="0" w:space="0" w:color="auto"/>
        <w:bottom w:val="none" w:sz="0" w:space="0" w:color="auto"/>
        <w:right w:val="none" w:sz="0" w:space="0" w:color="auto"/>
      </w:divBdr>
    </w:div>
    <w:div w:id="950278315">
      <w:bodyDiv w:val="1"/>
      <w:marLeft w:val="0"/>
      <w:marRight w:val="0"/>
      <w:marTop w:val="0"/>
      <w:marBottom w:val="0"/>
      <w:divBdr>
        <w:top w:val="none" w:sz="0" w:space="0" w:color="auto"/>
        <w:left w:val="none" w:sz="0" w:space="0" w:color="auto"/>
        <w:bottom w:val="none" w:sz="0" w:space="0" w:color="auto"/>
        <w:right w:val="none" w:sz="0" w:space="0" w:color="auto"/>
      </w:divBdr>
    </w:div>
    <w:div w:id="971399481">
      <w:bodyDiv w:val="1"/>
      <w:marLeft w:val="0"/>
      <w:marRight w:val="0"/>
      <w:marTop w:val="0"/>
      <w:marBottom w:val="0"/>
      <w:divBdr>
        <w:top w:val="none" w:sz="0" w:space="0" w:color="auto"/>
        <w:left w:val="none" w:sz="0" w:space="0" w:color="auto"/>
        <w:bottom w:val="none" w:sz="0" w:space="0" w:color="auto"/>
        <w:right w:val="none" w:sz="0" w:space="0" w:color="auto"/>
      </w:divBdr>
    </w:div>
    <w:div w:id="1009060723">
      <w:bodyDiv w:val="1"/>
      <w:marLeft w:val="0"/>
      <w:marRight w:val="0"/>
      <w:marTop w:val="0"/>
      <w:marBottom w:val="0"/>
      <w:divBdr>
        <w:top w:val="none" w:sz="0" w:space="0" w:color="auto"/>
        <w:left w:val="none" w:sz="0" w:space="0" w:color="auto"/>
        <w:bottom w:val="none" w:sz="0" w:space="0" w:color="auto"/>
        <w:right w:val="none" w:sz="0" w:space="0" w:color="auto"/>
      </w:divBdr>
    </w:div>
    <w:div w:id="1148472920">
      <w:bodyDiv w:val="1"/>
      <w:marLeft w:val="0"/>
      <w:marRight w:val="0"/>
      <w:marTop w:val="0"/>
      <w:marBottom w:val="0"/>
      <w:divBdr>
        <w:top w:val="none" w:sz="0" w:space="0" w:color="auto"/>
        <w:left w:val="none" w:sz="0" w:space="0" w:color="auto"/>
        <w:bottom w:val="none" w:sz="0" w:space="0" w:color="auto"/>
        <w:right w:val="none" w:sz="0" w:space="0" w:color="auto"/>
      </w:divBdr>
    </w:div>
    <w:div w:id="1160343294">
      <w:bodyDiv w:val="1"/>
      <w:marLeft w:val="0"/>
      <w:marRight w:val="0"/>
      <w:marTop w:val="0"/>
      <w:marBottom w:val="0"/>
      <w:divBdr>
        <w:top w:val="none" w:sz="0" w:space="0" w:color="auto"/>
        <w:left w:val="none" w:sz="0" w:space="0" w:color="auto"/>
        <w:bottom w:val="none" w:sz="0" w:space="0" w:color="auto"/>
        <w:right w:val="none" w:sz="0" w:space="0" w:color="auto"/>
      </w:divBdr>
    </w:div>
    <w:div w:id="1245459543">
      <w:bodyDiv w:val="1"/>
      <w:marLeft w:val="0"/>
      <w:marRight w:val="0"/>
      <w:marTop w:val="0"/>
      <w:marBottom w:val="0"/>
      <w:divBdr>
        <w:top w:val="none" w:sz="0" w:space="0" w:color="auto"/>
        <w:left w:val="none" w:sz="0" w:space="0" w:color="auto"/>
        <w:bottom w:val="none" w:sz="0" w:space="0" w:color="auto"/>
        <w:right w:val="none" w:sz="0" w:space="0" w:color="auto"/>
      </w:divBdr>
      <w:divsChild>
        <w:div w:id="504177432">
          <w:marLeft w:val="0"/>
          <w:marRight w:val="0"/>
          <w:marTop w:val="0"/>
          <w:marBottom w:val="0"/>
          <w:divBdr>
            <w:top w:val="none" w:sz="0" w:space="0" w:color="auto"/>
            <w:left w:val="none" w:sz="0" w:space="0" w:color="auto"/>
            <w:bottom w:val="none" w:sz="0" w:space="0" w:color="auto"/>
            <w:right w:val="none" w:sz="0" w:space="0" w:color="auto"/>
          </w:divBdr>
          <w:divsChild>
            <w:div w:id="1973512583">
              <w:marLeft w:val="0"/>
              <w:marRight w:val="0"/>
              <w:marTop w:val="0"/>
              <w:marBottom w:val="0"/>
              <w:divBdr>
                <w:top w:val="none" w:sz="0" w:space="0" w:color="auto"/>
                <w:left w:val="none" w:sz="0" w:space="0" w:color="auto"/>
                <w:bottom w:val="none" w:sz="0" w:space="0" w:color="auto"/>
                <w:right w:val="none" w:sz="0" w:space="0" w:color="auto"/>
              </w:divBdr>
              <w:divsChild>
                <w:div w:id="209996324">
                  <w:marLeft w:val="0"/>
                  <w:marRight w:val="0"/>
                  <w:marTop w:val="0"/>
                  <w:marBottom w:val="0"/>
                  <w:divBdr>
                    <w:top w:val="none" w:sz="0" w:space="0" w:color="auto"/>
                    <w:left w:val="none" w:sz="0" w:space="0" w:color="auto"/>
                    <w:bottom w:val="none" w:sz="0" w:space="0" w:color="auto"/>
                    <w:right w:val="none" w:sz="0" w:space="0" w:color="auto"/>
                  </w:divBdr>
                  <w:divsChild>
                    <w:div w:id="13736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9689">
              <w:marLeft w:val="0"/>
              <w:marRight w:val="0"/>
              <w:marTop w:val="0"/>
              <w:marBottom w:val="0"/>
              <w:divBdr>
                <w:top w:val="none" w:sz="0" w:space="0" w:color="auto"/>
                <w:left w:val="none" w:sz="0" w:space="0" w:color="auto"/>
                <w:bottom w:val="none" w:sz="0" w:space="0" w:color="auto"/>
                <w:right w:val="none" w:sz="0" w:space="0" w:color="auto"/>
              </w:divBdr>
              <w:divsChild>
                <w:div w:id="2056420486">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1615401856">
          <w:marLeft w:val="0"/>
          <w:marRight w:val="0"/>
          <w:marTop w:val="0"/>
          <w:marBottom w:val="0"/>
          <w:divBdr>
            <w:top w:val="none" w:sz="0" w:space="0" w:color="auto"/>
            <w:left w:val="none" w:sz="0" w:space="0" w:color="auto"/>
            <w:bottom w:val="none" w:sz="0" w:space="0" w:color="auto"/>
            <w:right w:val="none" w:sz="0" w:space="0" w:color="auto"/>
          </w:divBdr>
          <w:divsChild>
            <w:div w:id="192961662">
              <w:marLeft w:val="0"/>
              <w:marRight w:val="0"/>
              <w:marTop w:val="0"/>
              <w:marBottom w:val="0"/>
              <w:divBdr>
                <w:top w:val="none" w:sz="0" w:space="0" w:color="auto"/>
                <w:left w:val="none" w:sz="0" w:space="0" w:color="auto"/>
                <w:bottom w:val="none" w:sz="0" w:space="0" w:color="auto"/>
                <w:right w:val="none" w:sz="0" w:space="0" w:color="auto"/>
              </w:divBdr>
              <w:divsChild>
                <w:div w:id="1519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5313">
          <w:marLeft w:val="0"/>
          <w:marRight w:val="0"/>
          <w:marTop w:val="0"/>
          <w:marBottom w:val="0"/>
          <w:divBdr>
            <w:top w:val="none" w:sz="0" w:space="0" w:color="auto"/>
            <w:left w:val="none" w:sz="0" w:space="0" w:color="auto"/>
            <w:bottom w:val="none" w:sz="0" w:space="0" w:color="auto"/>
            <w:right w:val="none" w:sz="0" w:space="0" w:color="auto"/>
          </w:divBdr>
          <w:divsChild>
            <w:div w:id="1009329623">
              <w:marLeft w:val="1600"/>
              <w:marRight w:val="0"/>
              <w:marTop w:val="0"/>
              <w:marBottom w:val="0"/>
              <w:divBdr>
                <w:top w:val="none" w:sz="0" w:space="0" w:color="auto"/>
                <w:left w:val="none" w:sz="0" w:space="0" w:color="auto"/>
                <w:bottom w:val="none" w:sz="0" w:space="0" w:color="auto"/>
                <w:right w:val="none" w:sz="0" w:space="0" w:color="auto"/>
              </w:divBdr>
              <w:divsChild>
                <w:div w:id="1822237643">
                  <w:marLeft w:val="0"/>
                  <w:marRight w:val="0"/>
                  <w:marTop w:val="0"/>
                  <w:marBottom w:val="0"/>
                  <w:divBdr>
                    <w:top w:val="none" w:sz="0" w:space="0" w:color="auto"/>
                    <w:left w:val="none" w:sz="0" w:space="0" w:color="auto"/>
                    <w:bottom w:val="none" w:sz="0" w:space="0" w:color="auto"/>
                    <w:right w:val="none" w:sz="0" w:space="0" w:color="auto"/>
                  </w:divBdr>
                  <w:divsChild>
                    <w:div w:id="2048093681">
                      <w:marLeft w:val="0"/>
                      <w:marRight w:val="0"/>
                      <w:marTop w:val="0"/>
                      <w:marBottom w:val="0"/>
                      <w:divBdr>
                        <w:top w:val="none" w:sz="0" w:space="0" w:color="auto"/>
                        <w:left w:val="none" w:sz="0" w:space="0" w:color="auto"/>
                        <w:bottom w:val="none" w:sz="0" w:space="0" w:color="auto"/>
                        <w:right w:val="none" w:sz="0" w:space="0" w:color="auto"/>
                      </w:divBdr>
                      <w:divsChild>
                        <w:div w:id="632489102">
                          <w:marLeft w:val="0"/>
                          <w:marRight w:val="0"/>
                          <w:marTop w:val="0"/>
                          <w:marBottom w:val="0"/>
                          <w:divBdr>
                            <w:top w:val="none" w:sz="0" w:space="0" w:color="auto"/>
                            <w:left w:val="none" w:sz="0" w:space="0" w:color="auto"/>
                            <w:bottom w:val="none" w:sz="0" w:space="0" w:color="auto"/>
                            <w:right w:val="none" w:sz="0" w:space="0" w:color="auto"/>
                          </w:divBdr>
                        </w:div>
                        <w:div w:id="550774163">
                          <w:marLeft w:val="0"/>
                          <w:marRight w:val="0"/>
                          <w:marTop w:val="0"/>
                          <w:marBottom w:val="0"/>
                          <w:divBdr>
                            <w:top w:val="none" w:sz="0" w:space="0" w:color="auto"/>
                            <w:left w:val="none" w:sz="0" w:space="0" w:color="auto"/>
                            <w:bottom w:val="none" w:sz="0" w:space="0" w:color="auto"/>
                            <w:right w:val="none" w:sz="0" w:space="0" w:color="auto"/>
                          </w:divBdr>
                          <w:divsChild>
                            <w:div w:id="10459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236">
                      <w:marLeft w:val="0"/>
                      <w:marRight w:val="0"/>
                      <w:marTop w:val="0"/>
                      <w:marBottom w:val="0"/>
                      <w:divBdr>
                        <w:top w:val="none" w:sz="0" w:space="0" w:color="auto"/>
                        <w:left w:val="none" w:sz="0" w:space="0" w:color="auto"/>
                        <w:bottom w:val="none" w:sz="0" w:space="0" w:color="auto"/>
                        <w:right w:val="none" w:sz="0" w:space="0" w:color="auto"/>
                      </w:divBdr>
                      <w:divsChild>
                        <w:div w:id="2099523771">
                          <w:marLeft w:val="0"/>
                          <w:marRight w:val="0"/>
                          <w:marTop w:val="0"/>
                          <w:marBottom w:val="0"/>
                          <w:divBdr>
                            <w:top w:val="none" w:sz="0" w:space="0" w:color="auto"/>
                            <w:left w:val="none" w:sz="0" w:space="0" w:color="auto"/>
                            <w:bottom w:val="none" w:sz="0" w:space="0" w:color="auto"/>
                            <w:right w:val="none" w:sz="0" w:space="0" w:color="auto"/>
                          </w:divBdr>
                        </w:div>
                        <w:div w:id="18013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31093">
          <w:marLeft w:val="0"/>
          <w:marRight w:val="0"/>
          <w:marTop w:val="0"/>
          <w:marBottom w:val="0"/>
          <w:divBdr>
            <w:top w:val="none" w:sz="0" w:space="0" w:color="auto"/>
            <w:left w:val="none" w:sz="0" w:space="0" w:color="auto"/>
            <w:bottom w:val="none" w:sz="0" w:space="0" w:color="auto"/>
            <w:right w:val="none" w:sz="0" w:space="0" w:color="auto"/>
          </w:divBdr>
          <w:divsChild>
            <w:div w:id="1513837810">
              <w:marLeft w:val="1600"/>
              <w:marRight w:val="0"/>
              <w:marTop w:val="0"/>
              <w:marBottom w:val="0"/>
              <w:divBdr>
                <w:top w:val="none" w:sz="0" w:space="0" w:color="auto"/>
                <w:left w:val="none" w:sz="0" w:space="0" w:color="auto"/>
                <w:bottom w:val="none" w:sz="0" w:space="0" w:color="auto"/>
                <w:right w:val="none" w:sz="0" w:space="0" w:color="auto"/>
              </w:divBdr>
              <w:divsChild>
                <w:div w:id="372387028">
                  <w:marLeft w:val="0"/>
                  <w:marRight w:val="0"/>
                  <w:marTop w:val="0"/>
                  <w:marBottom w:val="0"/>
                  <w:divBdr>
                    <w:top w:val="none" w:sz="0" w:space="0" w:color="auto"/>
                    <w:left w:val="none" w:sz="0" w:space="0" w:color="auto"/>
                    <w:bottom w:val="none" w:sz="0" w:space="0" w:color="auto"/>
                    <w:right w:val="none" w:sz="0" w:space="0" w:color="auto"/>
                  </w:divBdr>
                  <w:divsChild>
                    <w:div w:id="952446243">
                      <w:marLeft w:val="0"/>
                      <w:marRight w:val="0"/>
                      <w:marTop w:val="0"/>
                      <w:marBottom w:val="0"/>
                      <w:divBdr>
                        <w:top w:val="none" w:sz="0" w:space="0" w:color="auto"/>
                        <w:left w:val="none" w:sz="0" w:space="0" w:color="auto"/>
                        <w:bottom w:val="none" w:sz="0" w:space="0" w:color="auto"/>
                        <w:right w:val="none" w:sz="0" w:space="0" w:color="auto"/>
                      </w:divBdr>
                      <w:divsChild>
                        <w:div w:id="1426877434">
                          <w:marLeft w:val="0"/>
                          <w:marRight w:val="0"/>
                          <w:marTop w:val="0"/>
                          <w:marBottom w:val="0"/>
                          <w:divBdr>
                            <w:top w:val="none" w:sz="0" w:space="0" w:color="auto"/>
                            <w:left w:val="none" w:sz="0" w:space="0" w:color="auto"/>
                            <w:bottom w:val="none" w:sz="0" w:space="0" w:color="auto"/>
                            <w:right w:val="none" w:sz="0" w:space="0" w:color="auto"/>
                          </w:divBdr>
                        </w:div>
                        <w:div w:id="1888687771">
                          <w:marLeft w:val="0"/>
                          <w:marRight w:val="0"/>
                          <w:marTop w:val="0"/>
                          <w:marBottom w:val="0"/>
                          <w:divBdr>
                            <w:top w:val="none" w:sz="0" w:space="0" w:color="auto"/>
                            <w:left w:val="none" w:sz="0" w:space="0" w:color="auto"/>
                            <w:bottom w:val="none" w:sz="0" w:space="0" w:color="auto"/>
                            <w:right w:val="none" w:sz="0" w:space="0" w:color="auto"/>
                          </w:divBdr>
                          <w:divsChild>
                            <w:div w:id="1506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5710">
                      <w:marLeft w:val="0"/>
                      <w:marRight w:val="0"/>
                      <w:marTop w:val="0"/>
                      <w:marBottom w:val="0"/>
                      <w:divBdr>
                        <w:top w:val="none" w:sz="0" w:space="0" w:color="auto"/>
                        <w:left w:val="none" w:sz="0" w:space="0" w:color="auto"/>
                        <w:bottom w:val="none" w:sz="0" w:space="0" w:color="auto"/>
                        <w:right w:val="none" w:sz="0" w:space="0" w:color="auto"/>
                      </w:divBdr>
                      <w:divsChild>
                        <w:div w:id="1350720139">
                          <w:marLeft w:val="0"/>
                          <w:marRight w:val="0"/>
                          <w:marTop w:val="0"/>
                          <w:marBottom w:val="0"/>
                          <w:divBdr>
                            <w:top w:val="none" w:sz="0" w:space="0" w:color="auto"/>
                            <w:left w:val="none" w:sz="0" w:space="0" w:color="auto"/>
                            <w:bottom w:val="none" w:sz="0" w:space="0" w:color="auto"/>
                            <w:right w:val="none" w:sz="0" w:space="0" w:color="auto"/>
                          </w:divBdr>
                        </w:div>
                        <w:div w:id="8890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96461">
      <w:bodyDiv w:val="1"/>
      <w:marLeft w:val="0"/>
      <w:marRight w:val="0"/>
      <w:marTop w:val="0"/>
      <w:marBottom w:val="0"/>
      <w:divBdr>
        <w:top w:val="none" w:sz="0" w:space="0" w:color="auto"/>
        <w:left w:val="none" w:sz="0" w:space="0" w:color="auto"/>
        <w:bottom w:val="none" w:sz="0" w:space="0" w:color="auto"/>
        <w:right w:val="none" w:sz="0" w:space="0" w:color="auto"/>
      </w:divBdr>
    </w:div>
    <w:div w:id="1405252156">
      <w:bodyDiv w:val="1"/>
      <w:marLeft w:val="0"/>
      <w:marRight w:val="0"/>
      <w:marTop w:val="0"/>
      <w:marBottom w:val="0"/>
      <w:divBdr>
        <w:top w:val="none" w:sz="0" w:space="0" w:color="auto"/>
        <w:left w:val="none" w:sz="0" w:space="0" w:color="auto"/>
        <w:bottom w:val="none" w:sz="0" w:space="0" w:color="auto"/>
        <w:right w:val="none" w:sz="0" w:space="0" w:color="auto"/>
      </w:divBdr>
    </w:div>
    <w:div w:id="1597976329">
      <w:bodyDiv w:val="1"/>
      <w:marLeft w:val="0"/>
      <w:marRight w:val="0"/>
      <w:marTop w:val="0"/>
      <w:marBottom w:val="0"/>
      <w:divBdr>
        <w:top w:val="none" w:sz="0" w:space="0" w:color="auto"/>
        <w:left w:val="none" w:sz="0" w:space="0" w:color="auto"/>
        <w:bottom w:val="none" w:sz="0" w:space="0" w:color="auto"/>
        <w:right w:val="none" w:sz="0" w:space="0" w:color="auto"/>
      </w:divBdr>
    </w:div>
    <w:div w:id="1624728195">
      <w:bodyDiv w:val="1"/>
      <w:marLeft w:val="0"/>
      <w:marRight w:val="0"/>
      <w:marTop w:val="0"/>
      <w:marBottom w:val="0"/>
      <w:divBdr>
        <w:top w:val="none" w:sz="0" w:space="0" w:color="auto"/>
        <w:left w:val="none" w:sz="0" w:space="0" w:color="auto"/>
        <w:bottom w:val="none" w:sz="0" w:space="0" w:color="auto"/>
        <w:right w:val="none" w:sz="0" w:space="0" w:color="auto"/>
      </w:divBdr>
    </w:div>
    <w:div w:id="1759055973">
      <w:bodyDiv w:val="1"/>
      <w:marLeft w:val="0"/>
      <w:marRight w:val="0"/>
      <w:marTop w:val="0"/>
      <w:marBottom w:val="0"/>
      <w:divBdr>
        <w:top w:val="none" w:sz="0" w:space="0" w:color="auto"/>
        <w:left w:val="none" w:sz="0" w:space="0" w:color="auto"/>
        <w:bottom w:val="none" w:sz="0" w:space="0" w:color="auto"/>
        <w:right w:val="none" w:sz="0" w:space="0" w:color="auto"/>
      </w:divBdr>
    </w:div>
    <w:div w:id="194360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rf.ch/news/international/nahost/die-lage-im-ueberblick-krieg-im-nahen-osten-das-passiert-aktuell-2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ilsa.org/Jessup/Jessup15/Montevideo%20Conven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rf.ch/play/tv/10-vor-10/video/10-vor-10-vom-26-06-2025?urn=urn:srf:video:815144c3-4481-481f-86ce-286f7449d0f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Franz/Downloads/voelkerrechtliche-anerkennung-staaten-regierungen_DE.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rf.ch/play/tv/10-vor-10/video/10-vor-10-vom-29-07-2025?urn=urn:srf:video:824875d3-26ab-4b80-905a-82da6db9c831" TargetMode="External"/><Relationship Id="rId23" Type="http://schemas.openxmlformats.org/officeDocument/2006/relationships/fontTable" Target="fontTable.xml"/><Relationship Id="rId10" Type="http://schemas.openxmlformats.org/officeDocument/2006/relationships/hyperlink" Target="mailto:leitung@ombudsstellesrgd.ch"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rf.ch/news/international/lebensmittel-im-nahen-osten-israels-armee-zerstoert-palaestinensische-saatgutbank" TargetMode="External"/><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3C71392D72354197D794ECDCAFADEB" ma:contentTypeVersion="7" ma:contentTypeDescription="Ein neues Dokument erstellen." ma:contentTypeScope="" ma:versionID="74d46536513c416e702d029814e54d13">
  <xsd:schema xmlns:xsd="http://www.w3.org/2001/XMLSchema" xmlns:xs="http://www.w3.org/2001/XMLSchema" xmlns:p="http://schemas.microsoft.com/office/2006/metadata/properties" xmlns:ns2="322d9ff8-f49a-4c68-80b7-744bc3d30e8b" xmlns:ns3="96f59662-7fb4-4a9c-b148-27e76f8a4ac5" targetNamespace="http://schemas.microsoft.com/office/2006/metadata/properties" ma:root="true" ma:fieldsID="dc8c1f15193e9812f50309e50462ca1e" ns2:_="" ns3:_="">
    <xsd:import namespace="322d9ff8-f49a-4c68-80b7-744bc3d30e8b"/>
    <xsd:import namespace="96f59662-7fb4-4a9c-b148-27e76f8a4a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9ff8-f49a-4c68-80b7-744bc3d30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59662-7fb4-4a9c-b148-27e76f8a4ac5"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12856-B596-4397-977B-78E297115804}">
  <ds:schemaRefs>
    <ds:schemaRef ds:uri="http://schemas.microsoft.com/sharepoint/v3/contenttype/forms"/>
  </ds:schemaRefs>
</ds:datastoreItem>
</file>

<file path=customXml/itemProps2.xml><?xml version="1.0" encoding="utf-8"?>
<ds:datastoreItem xmlns:ds="http://schemas.openxmlformats.org/officeDocument/2006/customXml" ds:itemID="{5DA4E653-4AC7-4ED9-AF83-EEC6C37B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9ff8-f49a-4c68-80b7-744bc3d30e8b"/>
    <ds:schemaRef ds:uri="96f59662-7fb4-4a9c-b148-27e76f8a4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D8778-BF88-4FDE-B7F6-8232EB2DE5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3179</Words>
  <Characters>20029</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Annina (SRG.D)</dc:creator>
  <cp:keywords/>
  <dc:description/>
  <cp:lastModifiedBy>Looser, Denise (SRG.D)</cp:lastModifiedBy>
  <cp:revision>3</cp:revision>
  <cp:lastPrinted>2023-11-15T08:27:00Z</cp:lastPrinted>
  <dcterms:created xsi:type="dcterms:W3CDTF">2025-08-26T12:10:00Z</dcterms:created>
  <dcterms:modified xsi:type="dcterms:W3CDTF">2025-08-26T12:11:00Z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0x010100213C71392D72354197D794ECDCAFADEB</vt:lpwstr>
  </property>
</Properties>
</file>